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版本号：【KRDL】K4-260508520260603001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雁塔校区6#学生公寓室内环境更新改造项目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【KRDL】K4-2605085</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雁塔校区6#学生公寓室内环境更新改造项目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【KRDL】K4-2605085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雁塔校区6#学生公寓室内环境更新改造项目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建筑科技大学雁塔校区6#学生公寓室内环境更新改造项目，工程内容包含对雁塔校区6#学生公寓155间宿舍内进行全面改造，包括地面、插座、灯具、墙柜及家具保护性拆卸等内容；地面铲除原水泥地面，铺贴水磨石地砖，增强耐用性与安全性，拆除原混凝土墙柜，墙面顶面整体粉刷；刻槽敷设强弱电线缆，新增插座等，具体以本项目竞争性磋商文件、工程量清单及图纸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采购包1（雁塔校区6#学生公寓室内环境更新改造项目）：属于专门面向中小企业采购。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1、主体资格：供应商为向采购人提供工程及相应服务的法人或其他组织；</w:t>
      </w:r>
    </w:p>
    <w:p>
      <w:pPr>
        <w:pStyle w:val="null3"/>
      </w:pPr>
      <w:r>
        <w:rPr>
          <w:rFonts w:ascii="仿宋_GB2312" w:hAnsi="仿宋_GB2312" w:cs="仿宋_GB2312" w:eastAsia="仿宋_GB2312"/>
        </w:rPr>
        <w:t>2、社会保障资金缴纳证明：供应商提供自2025年5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3、税收缴纳证明：供应商提供自2025年5月至今已缴纳的至少一个月纳税证明或完税证明，依法免税的单位应提供相关证明材料；</w:t>
      </w:r>
    </w:p>
    <w:p>
      <w:pPr>
        <w:pStyle w:val="null3"/>
      </w:pPr>
      <w:r>
        <w:rPr>
          <w:rFonts w:ascii="仿宋_GB2312" w:hAnsi="仿宋_GB2312" w:cs="仿宋_GB2312" w:eastAsia="仿宋_GB2312"/>
        </w:rPr>
        <w:t>4、财务状况证明：供应商提供2024或2025年度经审计的完整财务审计报告或在开标日期前六个月内其基本开户银行出具的资信证明；</w:t>
      </w:r>
    </w:p>
    <w:p>
      <w:pPr>
        <w:pStyle w:val="null3"/>
      </w:pPr>
      <w:r>
        <w:rPr>
          <w:rFonts w:ascii="仿宋_GB2312" w:hAnsi="仿宋_GB2312" w:cs="仿宋_GB2312" w:eastAsia="仿宋_GB2312"/>
        </w:rPr>
        <w:t>5、供应商资质要求：供应商须具备建设行政主管部门颁发合法有效的建筑工程施工总承包三级(含)以上或建筑装修装饰工程专业承包二级(含)以上资质，并具备有效的安全生产许可证，且在人员、设备、资金等方面具备相应施工能力；</w:t>
      </w:r>
    </w:p>
    <w:p>
      <w:pPr>
        <w:pStyle w:val="null3"/>
      </w:pPr>
      <w:r>
        <w:rPr>
          <w:rFonts w:ascii="仿宋_GB2312" w:hAnsi="仿宋_GB2312" w:cs="仿宋_GB2312" w:eastAsia="仿宋_GB2312"/>
        </w:rPr>
        <w:t>6、供应商拟派项目经理资质和专业要求：供应商拟派项目经理具备合法有效的建筑工程专业注册建造师二级（含）以上执业资格及安全生产考核合格证书（安全B证），在本单位注册且无在建工程；</w:t>
      </w:r>
    </w:p>
    <w:p>
      <w:pPr>
        <w:pStyle w:val="null3"/>
      </w:pPr>
      <w:r>
        <w:rPr>
          <w:rFonts w:ascii="仿宋_GB2312" w:hAnsi="仿宋_GB2312" w:cs="仿宋_GB2312" w:eastAsia="仿宋_GB2312"/>
        </w:rPr>
        <w:t>7、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p>
      <w:pPr>
        <w:pStyle w:val="null3"/>
      </w:pPr>
      <w:r>
        <w:rPr>
          <w:rFonts w:ascii="仿宋_GB2312" w:hAnsi="仿宋_GB2312" w:cs="仿宋_GB2312" w:eastAsia="仿宋_GB2312"/>
        </w:rPr>
        <w:t>8、其他要求：供应商及其拟派项目经理须在“陕西省住房和城乡建设厅”官方网站可查询；如供应商为外省进陕企业，还须同时提供“陕西省住房和城乡建设厅”官网企业库外省进陕施工企业信息首页截图；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招标采购办公室胡老师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029-82202221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姚瑶、代光艳、路坦、贾亚妮、刘如拉、王昭、刘昆、张晨、王森、靳祥德、成荔、彭明杨、王莉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029-89581863、15229797656、17302920968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采购包1：1,572,200.00元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说明：成交供应商凭成交通知书向采购人缴纳成交金额的3%作为履约保证金，待合同（含保修期）履约完毕后无息退还。若保修期内出现质量问题未及时处理或处理不当造成事故的，履约保证金不予退还。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代理服务费收费标准：参照国家计委颁布的《招标代理服务收费管理暂行办法》（计价格[2002]1980号）及发改办价格[2003]857号文件的规定标准下浮25%收取，本项目代理服务费按服务计取。 备注：在对采购代理服务费或者响应保证金转账时需备注项目名称+采购包名称+采购代理服务费或响应保证金。</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踏勘时间：2026-06-12 15:00:00</w:t>
            </w:r>
          </w:p>
          <w:p>
            <w:pPr>
              <w:pStyle w:val="null3"/>
              <w:ind w:firstLine="975"/>
            </w:pPr>
            <w:r>
              <w:rPr>
                <w:rFonts w:ascii="仿宋_GB2312" w:hAnsi="仿宋_GB2312" w:cs="仿宋_GB2312" w:eastAsia="仿宋_GB2312"/>
              </w:rPr>
              <w:t>踏勘地点：西安建筑科技大学雁塔校区北院6#公寓门前</w:t>
            </w:r>
          </w:p>
          <w:p>
            <w:pPr>
              <w:pStyle w:val="null3"/>
              <w:ind w:firstLine="975"/>
            </w:pPr>
            <w:r>
              <w:rPr>
                <w:rFonts w:ascii="仿宋_GB2312" w:hAnsi="仿宋_GB2312" w:cs="仿宋_GB2312" w:eastAsia="仿宋_GB2312"/>
              </w:rPr>
              <w:t>联系人：屈工</w:t>
            </w:r>
          </w:p>
          <w:p>
            <w:pPr>
              <w:pStyle w:val="null3"/>
              <w:ind w:firstLine="975"/>
            </w:pPr>
            <w:r>
              <w:rPr>
                <w:rFonts w:ascii="仿宋_GB2312" w:hAnsi="仿宋_GB2312" w:cs="仿宋_GB2312" w:eastAsia="仿宋_GB2312"/>
              </w:rPr>
              <w:t>联系电话号码：17391959019</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西安建筑科技大学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以竞争性磋商文件、响应文件及合同要求为准。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联系人：代光艳、刘如拉</w:t>
      </w:r>
    </w:p>
    <w:p>
      <w:pPr>
        <w:pStyle w:val="null3"/>
      </w:pPr>
      <w:r>
        <w:rPr>
          <w:rFonts w:ascii="仿宋_GB2312" w:hAnsi="仿宋_GB2312" w:cs="仿宋_GB2312" w:eastAsia="仿宋_GB2312"/>
        </w:rPr>
        <w:t>联系电话：029-89581863</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1,572,200.00</w:t>
      </w:r>
    </w:p>
    <w:p>
      <w:pPr>
        <w:pStyle w:val="null3"/>
      </w:pPr>
      <w:r>
        <w:rPr>
          <w:rFonts w:ascii="仿宋_GB2312" w:hAnsi="仿宋_GB2312" w:cs="仿宋_GB2312" w:eastAsia="仿宋_GB2312"/>
        </w:rPr>
        <w:t>采购包最高限价（元）: 1,572,200.00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雁塔校区6号学生公寓室内环境更新改造项目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1,572,200.00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标的名称：雁塔校区6号学生公寓室内环境更新改造项目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pPr>
            <w:r>
              <w:rPr>
                <w:rFonts w:ascii="仿宋_GB2312" w:hAnsi="仿宋_GB2312" w:cs="仿宋_GB2312" w:eastAsia="仿宋_GB2312"/>
                <w:sz w:val="24"/>
                <w:b/>
                <w:color w:val="0000FF"/>
              </w:rPr>
              <w:t>一、项目概况</w:t>
            </w:r>
          </w:p>
          <w:p>
            <w:pPr>
              <w:pStyle w:val="null3"/>
              <w:ind w:firstLine="480"/>
              <w:jc w:val="both"/>
            </w:pPr>
            <w:r>
              <w:rPr>
                <w:rFonts w:ascii="仿宋_GB2312" w:hAnsi="仿宋_GB2312" w:cs="仿宋_GB2312" w:eastAsia="仿宋_GB2312"/>
                <w:sz w:val="24"/>
                <w:color w:val="0000FF"/>
              </w:rPr>
              <w:t>西安建筑科技大学雁塔校区</w:t>
            </w:r>
            <w:r>
              <w:rPr>
                <w:rFonts w:ascii="仿宋_GB2312" w:hAnsi="仿宋_GB2312" w:cs="仿宋_GB2312" w:eastAsia="仿宋_GB2312"/>
                <w:sz w:val="24"/>
                <w:color w:val="0000FF"/>
              </w:rPr>
              <w:t>6#学生公寓室内环境更新改造项目，</w:t>
            </w:r>
            <w:r>
              <w:rPr>
                <w:rFonts w:ascii="仿宋_GB2312" w:hAnsi="仿宋_GB2312" w:cs="仿宋_GB2312" w:eastAsia="仿宋_GB2312"/>
                <w:sz w:val="24"/>
                <w:color w:val="0000FF"/>
              </w:rPr>
              <w:t>工程内容包含对雁塔校区</w:t>
            </w:r>
            <w:r>
              <w:rPr>
                <w:rFonts w:ascii="仿宋_GB2312" w:hAnsi="仿宋_GB2312" w:cs="仿宋_GB2312" w:eastAsia="仿宋_GB2312"/>
                <w:sz w:val="24"/>
                <w:color w:val="0000FF"/>
              </w:rPr>
              <w:t>6#学生公寓155间宿舍内进行全面改造，包括地面、插座、灯具、墙柜及家具保护性拆卸等内容；地面铲除原水泥地面，铺贴水磨石地砖，增强耐用性与安全性，拆除原混凝土墙柜，墙面顶面整体粉刷；刻槽敷设强弱电线缆，新增插座等。</w:t>
            </w:r>
          </w:p>
          <w:p>
            <w:pPr>
              <w:pStyle w:val="null3"/>
              <w:ind w:firstLine="482"/>
              <w:jc w:val="both"/>
            </w:pPr>
            <w:r>
              <w:rPr>
                <w:rFonts w:ascii="仿宋_GB2312" w:hAnsi="仿宋_GB2312" w:cs="仿宋_GB2312" w:eastAsia="仿宋_GB2312"/>
                <w:sz w:val="24"/>
                <w:b/>
                <w:color w:val="0000FF"/>
              </w:rPr>
              <w:t>二、</w:t>
            </w:r>
            <w:r>
              <w:rPr>
                <w:rFonts w:ascii="仿宋_GB2312" w:hAnsi="仿宋_GB2312" w:cs="仿宋_GB2312" w:eastAsia="仿宋_GB2312"/>
                <w:sz w:val="24"/>
                <w:b/>
                <w:color w:val="0000FF"/>
              </w:rPr>
              <w:t>工程技术标准及要求</w:t>
            </w:r>
          </w:p>
          <w:p>
            <w:pPr>
              <w:pStyle w:val="null3"/>
              <w:ind w:firstLine="480"/>
              <w:jc w:val="both"/>
            </w:pPr>
            <w:r>
              <w:rPr>
                <w:rFonts w:ascii="仿宋_GB2312" w:hAnsi="仿宋_GB2312" w:cs="仿宋_GB2312" w:eastAsia="仿宋_GB2312"/>
                <w:sz w:val="24"/>
                <w:color w:val="0000FF"/>
              </w:rPr>
              <w:t>1.</w:t>
            </w:r>
            <w:r>
              <w:rPr>
                <w:rFonts w:ascii="仿宋_GB2312" w:hAnsi="仿宋_GB2312" w:cs="仿宋_GB2312" w:eastAsia="仿宋_GB2312"/>
                <w:sz w:val="24"/>
                <w:color w:val="0000FF"/>
              </w:rPr>
              <w:t>项目需执行的国家标准、行业标准、地方标准或者其他标准、规范等：</w:t>
            </w:r>
          </w:p>
          <w:tbl>
            <w:tblPr>
              <w:tblBorders>
                <w:top w:val="none" w:color="000000" w:sz="4"/>
                <w:left w:val="none" w:color="000000" w:sz="4"/>
                <w:bottom w:val="none" w:color="000000" w:sz="4"/>
                <w:right w:val="none" w:color="000000" w:sz="4"/>
                <w:insideH w:val="none"/>
                <w:insideV w:val="none"/>
              </w:tblBorders>
            </w:tblPr>
            <w:tblGrid>
              <w:gridCol w:w="339"/>
              <w:gridCol w:w="2213"/>
            </w:tblGrid>
            <w:tr>
              <w:tc>
                <w:tcPr>
                  <w:tcW w:type="dxa" w:w="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序号</w:t>
                  </w:r>
                </w:p>
              </w:tc>
              <w:tc>
                <w:tcPr>
                  <w:tcW w:type="dxa" w:w="2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标准、规范、规程名称</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建筑工程施工质量验收统一标准（</w:t>
                  </w:r>
                  <w:r>
                    <w:rPr>
                      <w:rFonts w:ascii="仿宋_GB2312" w:hAnsi="仿宋_GB2312" w:cs="仿宋_GB2312" w:eastAsia="仿宋_GB2312"/>
                      <w:sz w:val="24"/>
                      <w:color w:val="0000FF"/>
                    </w:rPr>
                    <w:t>GB50300-2013）</w:t>
                  </w:r>
                </w:p>
              </w:tc>
            </w:tr>
          </w:tbl>
          <w:p>
            <w:pPr>
              <w:pStyle w:val="null3"/>
              <w:ind w:firstLine="480"/>
              <w:jc w:val="both"/>
            </w:pPr>
            <w:r>
              <w:rPr>
                <w:rFonts w:ascii="仿宋_GB2312" w:hAnsi="仿宋_GB2312" w:cs="仿宋_GB2312" w:eastAsia="仿宋_GB2312"/>
                <w:sz w:val="24"/>
                <w:color w:val="0000FF"/>
              </w:rPr>
              <w:t>2.</w:t>
            </w:r>
            <w:r>
              <w:rPr>
                <w:rFonts w:ascii="仿宋_GB2312" w:hAnsi="仿宋_GB2312" w:cs="仿宋_GB2312" w:eastAsia="仿宋_GB2312"/>
                <w:sz w:val="24"/>
                <w:color w:val="0000FF"/>
              </w:rPr>
              <w:t>本工程的施工过程和成果必须符合国家有关工程建设标准强制性条文和国家或有关部门关于工程施工方面现行的标准、规范、规程、定额、办法、示例，以及陕西省关于工程施工方面的文件、规定，同时满足中华人民共和国住建部发布的《工程建设标准强制性条文》的规定。</w:t>
            </w:r>
          </w:p>
          <w:p>
            <w:pPr>
              <w:pStyle w:val="null3"/>
              <w:ind w:firstLine="480"/>
              <w:jc w:val="both"/>
            </w:pPr>
            <w:r>
              <w:rPr>
                <w:rFonts w:ascii="仿宋_GB2312" w:hAnsi="仿宋_GB2312" w:cs="仿宋_GB2312" w:eastAsia="仿宋_GB2312"/>
                <w:sz w:val="24"/>
                <w:color w:val="0000FF"/>
              </w:rPr>
              <w:t>3.</w:t>
            </w:r>
            <w:r>
              <w:rPr>
                <w:rFonts w:ascii="仿宋_GB2312" w:hAnsi="仿宋_GB2312" w:cs="仿宋_GB2312" w:eastAsia="仿宋_GB2312"/>
                <w:sz w:val="24"/>
                <w:color w:val="0000FF"/>
              </w:rPr>
              <w:t>本工程其他技术标准及要求执行现行规范和采购人实际需求。</w:t>
            </w:r>
          </w:p>
          <w:p>
            <w:pPr>
              <w:pStyle w:val="null3"/>
              <w:ind w:firstLine="480"/>
              <w:jc w:val="both"/>
            </w:pPr>
            <w:r>
              <w:rPr>
                <w:rFonts w:ascii="仿宋_GB2312" w:hAnsi="仿宋_GB2312" w:cs="仿宋_GB2312" w:eastAsia="仿宋_GB2312"/>
                <w:sz w:val="24"/>
                <w:color w:val="0000FF"/>
              </w:rPr>
              <w:t>4.</w:t>
            </w:r>
            <w:r>
              <w:rPr>
                <w:rFonts w:ascii="仿宋_GB2312" w:hAnsi="仿宋_GB2312" w:cs="仿宋_GB2312" w:eastAsia="仿宋_GB2312"/>
                <w:sz w:val="24"/>
                <w:color w:val="0000FF"/>
              </w:rPr>
              <w:t>在施工过程中，如果国家或有关部门颁布了新的技术部分准或规范，则承包人应采用新的标准或规范进行施工。</w:t>
            </w:r>
          </w:p>
          <w:p>
            <w:pPr>
              <w:pStyle w:val="null3"/>
              <w:ind w:firstLine="480"/>
              <w:jc w:val="both"/>
            </w:pPr>
            <w:r>
              <w:rPr>
                <w:rFonts w:ascii="仿宋_GB2312" w:hAnsi="仿宋_GB2312" w:cs="仿宋_GB2312" w:eastAsia="仿宋_GB2312"/>
                <w:sz w:val="24"/>
                <w:color w:val="0000FF"/>
              </w:rPr>
              <w:t>5.</w:t>
            </w:r>
            <w:r>
              <w:rPr>
                <w:rFonts w:ascii="仿宋_GB2312" w:hAnsi="仿宋_GB2312" w:cs="仿宋_GB2312" w:eastAsia="仿宋_GB2312"/>
                <w:sz w:val="24"/>
                <w:color w:val="0000FF"/>
              </w:rPr>
              <w:t>采购人提供工程的施工方案和相关技术文件，是采购人现有的能被供应商利用的资料，采购人对供应商做出的任何推论、理解均不负责任。</w:t>
            </w:r>
          </w:p>
          <w:p>
            <w:pPr>
              <w:pStyle w:val="null3"/>
              <w:ind w:firstLine="480"/>
              <w:jc w:val="left"/>
            </w:pPr>
            <w:r>
              <w:rPr>
                <w:rFonts w:ascii="仿宋_GB2312" w:hAnsi="仿宋_GB2312" w:cs="仿宋_GB2312" w:eastAsia="仿宋_GB2312"/>
                <w:sz w:val="24"/>
                <w:color w:val="0000FF"/>
              </w:rPr>
              <w:t>6.</w:t>
            </w:r>
            <w:r>
              <w:rPr>
                <w:rFonts w:ascii="仿宋_GB2312" w:hAnsi="仿宋_GB2312" w:cs="仿宋_GB2312" w:eastAsia="仿宋_GB2312"/>
                <w:sz w:val="24"/>
                <w:color w:val="0000FF"/>
              </w:rPr>
              <w:t>供应商应先到工程地点踏勘以充分了解工地位置、地质情况、进出场道路、拆迁干扰、储存空间、运输能力、装卸限制、行车干扰及任何其它足以影响承包价格的情况，了解施工规范、标准以及施工现场实际等情况，并应考虑现有人、材、机市场水平和供应、投标风险、不利的施工因素等，任何因忽视或误解工地情况而导致的索赔或工期延长申请将不获批准。</w:t>
            </w:r>
          </w:p>
          <w:p>
            <w:pPr>
              <w:pStyle w:val="null3"/>
              <w:ind w:firstLine="480"/>
              <w:jc w:val="both"/>
            </w:pPr>
            <w:r>
              <w:rPr>
                <w:rFonts w:ascii="仿宋_GB2312" w:hAnsi="仿宋_GB2312" w:cs="仿宋_GB2312" w:eastAsia="仿宋_GB2312"/>
                <w:sz w:val="24"/>
                <w:color w:val="0000FF"/>
              </w:rPr>
              <w:t>7.</w:t>
            </w:r>
            <w:r>
              <w:rPr>
                <w:rFonts w:ascii="仿宋_GB2312" w:hAnsi="仿宋_GB2312" w:cs="仿宋_GB2312" w:eastAsia="仿宋_GB2312"/>
                <w:sz w:val="24"/>
                <w:color w:val="0000FF"/>
              </w:rPr>
              <w:t>供应商取得验收手续后，及时通知采购人验收，并按采购人的要求提交竣工验收申请报告及竣工资料，采购人应及时组织验收，并在验收后</w:t>
            </w:r>
            <w:r>
              <w:rPr>
                <w:rFonts w:ascii="仿宋_GB2312" w:hAnsi="仿宋_GB2312" w:cs="仿宋_GB2312" w:eastAsia="仿宋_GB2312"/>
                <w:sz w:val="24"/>
                <w:color w:val="0000FF"/>
              </w:rPr>
              <w:t>10个工作日内作出合格或不合格的验收意见，验收不合格的，供应商应返工，直至采购人验收合格为止，返工的一切费用由供应商承担，且工期不予顺延。如供应商在规定时间内未能组织验收的，需及时通知采购人，双方另行商定验收日期。</w:t>
            </w:r>
          </w:p>
          <w:p>
            <w:pPr>
              <w:pStyle w:val="null3"/>
              <w:ind w:firstLine="480"/>
              <w:jc w:val="both"/>
            </w:pPr>
            <w:r>
              <w:rPr>
                <w:rFonts w:ascii="仿宋_GB2312" w:hAnsi="仿宋_GB2312" w:cs="仿宋_GB2312" w:eastAsia="仿宋_GB2312"/>
                <w:sz w:val="24"/>
                <w:color w:val="0000FF"/>
              </w:rPr>
              <w:t>8.</w:t>
            </w:r>
            <w:r>
              <w:rPr>
                <w:rFonts w:ascii="仿宋_GB2312" w:hAnsi="仿宋_GB2312" w:cs="仿宋_GB2312" w:eastAsia="仿宋_GB2312"/>
                <w:sz w:val="24"/>
                <w:color w:val="0000FF"/>
              </w:rPr>
              <w:t>成交供应商未经采购人及有关部门同意，不得擅自变更本项目在竞争性磋商过程承诺中认定的采购范围、实施组织方案和项目经理（响应文件中应明确项目经理的姓名及联系方法，以备检查）</w:t>
            </w:r>
          </w:p>
          <w:p>
            <w:pPr>
              <w:pStyle w:val="null3"/>
              <w:ind w:firstLine="480"/>
              <w:jc w:val="both"/>
            </w:pPr>
            <w:r>
              <w:rPr>
                <w:rFonts w:ascii="仿宋_GB2312" w:hAnsi="仿宋_GB2312" w:cs="仿宋_GB2312" w:eastAsia="仿宋_GB2312"/>
                <w:sz w:val="24"/>
                <w:color w:val="0000FF"/>
              </w:rPr>
              <w:t>9.</w:t>
            </w:r>
            <w:r>
              <w:rPr>
                <w:rFonts w:ascii="仿宋_GB2312" w:hAnsi="仿宋_GB2312" w:cs="仿宋_GB2312" w:eastAsia="仿宋_GB2312"/>
                <w:sz w:val="24"/>
                <w:color w:val="0000FF"/>
              </w:rPr>
              <w:t>成交供应商必须自行施工，不得转包、分包。</w:t>
            </w:r>
          </w:p>
          <w:p>
            <w:pPr>
              <w:pStyle w:val="null3"/>
              <w:ind w:firstLine="480"/>
              <w:jc w:val="both"/>
            </w:pPr>
            <w:r>
              <w:rPr>
                <w:rFonts w:ascii="仿宋_GB2312" w:hAnsi="仿宋_GB2312" w:cs="仿宋_GB2312" w:eastAsia="仿宋_GB2312"/>
                <w:sz w:val="24"/>
                <w:color w:val="0000FF"/>
              </w:rPr>
              <w:t>10.</w:t>
            </w:r>
            <w:r>
              <w:rPr>
                <w:rFonts w:ascii="仿宋_GB2312" w:hAnsi="仿宋_GB2312" w:cs="仿宋_GB2312" w:eastAsia="仿宋_GB2312"/>
                <w:sz w:val="24"/>
                <w:color w:val="0000FF"/>
              </w:rPr>
              <w:t>成交供应商在施工过程中不得影响学校的日常生活、工作秩序。</w:t>
            </w:r>
          </w:p>
          <w:p>
            <w:pPr>
              <w:pStyle w:val="null3"/>
              <w:ind w:firstLine="480"/>
              <w:jc w:val="both"/>
            </w:pPr>
            <w:r>
              <w:rPr>
                <w:rFonts w:ascii="仿宋_GB2312" w:hAnsi="仿宋_GB2312" w:cs="仿宋_GB2312" w:eastAsia="仿宋_GB2312"/>
                <w:sz w:val="24"/>
                <w:color w:val="0000FF"/>
              </w:rPr>
              <w:t>11.</w:t>
            </w:r>
            <w:r>
              <w:rPr>
                <w:rFonts w:ascii="仿宋_GB2312" w:hAnsi="仿宋_GB2312" w:cs="仿宋_GB2312" w:eastAsia="仿宋_GB2312"/>
                <w:sz w:val="24"/>
                <w:color w:val="0000FF"/>
              </w:rPr>
              <w:t>现场垃圾清运、治污减霾工作由成交供应商全权负责，供应商应负责做好项目的扬尘防治工作及垃圾清运工作。</w:t>
            </w:r>
          </w:p>
          <w:p>
            <w:pPr>
              <w:pStyle w:val="null3"/>
              <w:ind w:firstLine="482"/>
              <w:jc w:val="both"/>
            </w:pPr>
            <w:r>
              <w:rPr>
                <w:rFonts w:ascii="仿宋_GB2312" w:hAnsi="仿宋_GB2312" w:cs="仿宋_GB2312" w:eastAsia="仿宋_GB2312"/>
                <w:sz w:val="24"/>
                <w:b/>
                <w:color w:val="0000FF"/>
              </w:rPr>
              <w:t>三、</w:t>
            </w:r>
            <w:r>
              <w:rPr>
                <w:rFonts w:ascii="仿宋_GB2312" w:hAnsi="仿宋_GB2312" w:cs="仿宋_GB2312" w:eastAsia="仿宋_GB2312"/>
                <w:sz w:val="24"/>
                <w:b/>
                <w:color w:val="0000FF"/>
              </w:rPr>
              <w:t>工程量清单</w:t>
            </w:r>
          </w:p>
          <w:tbl>
            <w:tblPr>
              <w:tblBorders>
                <w:top w:val="none" w:color="000000" w:sz="4"/>
                <w:left w:val="none" w:color="000000" w:sz="4"/>
                <w:bottom w:val="none" w:color="000000" w:sz="4"/>
                <w:right w:val="none" w:color="000000" w:sz="4"/>
                <w:insideH w:val="none"/>
                <w:insideV w:val="none"/>
              </w:tblBorders>
            </w:tblPr>
            <w:tblGrid>
              <w:gridCol w:w="161"/>
              <w:gridCol w:w="279"/>
              <w:gridCol w:w="257"/>
              <w:gridCol w:w="1221"/>
              <w:gridCol w:w="340"/>
              <w:gridCol w:w="283"/>
            </w:tblGrid>
            <w:tr>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b/>
                      <w:color w:val="0000FF"/>
                    </w:rPr>
                    <w:t>序号</w:t>
                  </w:r>
                </w:p>
              </w:tc>
              <w:tc>
                <w:tcPr>
                  <w:tcW w:type="dxa" w:w="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b/>
                      <w:color w:val="0000FF"/>
                    </w:rPr>
                    <w:t>公寓号</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b/>
                      <w:color w:val="0000FF"/>
                    </w:rPr>
                    <w:t>项目</w:t>
                  </w:r>
                </w:p>
              </w:tc>
              <w:tc>
                <w:tcPr>
                  <w:tcW w:type="dxa" w:w="1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b/>
                      <w:color w:val="0000FF"/>
                    </w:rPr>
                    <w:t>施工内容</w:t>
                  </w:r>
                  <w:r>
                    <w:rPr>
                      <w:rFonts w:ascii="仿宋_GB2312" w:hAnsi="仿宋_GB2312" w:cs="仿宋_GB2312" w:eastAsia="仿宋_GB2312"/>
                      <w:sz w:val="24"/>
                      <w:b/>
                      <w:color w:val="0000FF"/>
                    </w:rPr>
                    <w:t>及要求</w:t>
                  </w:r>
                </w:p>
              </w:tc>
              <w:tc>
                <w:tcPr>
                  <w:tcW w:type="dxa" w:w="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b/>
                      <w:color w:val="0000FF"/>
                    </w:rPr>
                    <w:t>数量</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b/>
                      <w:color w:val="0000FF"/>
                    </w:rPr>
                    <w:t>单位</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1</w:t>
                  </w:r>
                </w:p>
              </w:tc>
              <w:tc>
                <w:tcPr>
                  <w:tcW w:type="dxa" w:w="2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6#</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宿舍乳胶漆粉刷</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FF"/>
                    </w:rPr>
                    <w:t>铲除原墙面、顶面至砂浆层，刷墙固，粉刷石膏调平，批腻子</w:t>
                  </w:r>
                  <w:r>
                    <w:rPr>
                      <w:rFonts w:ascii="仿宋_GB2312" w:hAnsi="仿宋_GB2312" w:cs="仿宋_GB2312" w:eastAsia="仿宋_GB2312"/>
                      <w:sz w:val="24"/>
                      <w:color w:val="0000FF"/>
                    </w:rPr>
                    <w:t>2遍，打磨后，刷乳胶漆涂料2遍，整体卫生保洁、床及桌椅恢复原位</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12400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2</w:t>
                  </w:r>
                </w:p>
              </w:tc>
              <w:tc>
                <w:tcPr>
                  <w:tcW w:type="dxa" w:w="279"/>
                  <w:vMerge/>
                  <w:tcBorders>
                    <w:top w:val="none" w:color="000000" w:sz="4"/>
                    <w:left w:val="none" w:color="000000" w:sz="4"/>
                    <w:bottom w:val="single" w:color="000000" w:sz="4"/>
                    <w:right w:val="single" w:color="000000" w:sz="4"/>
                  </w:tcBorders>
                </w:tc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墙柜拆除</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FF"/>
                    </w:rPr>
                    <w:t>1.柜体材质:120mm厚砖墙体墙柜、水泥板隔层、木质柜门</w:t>
                  </w:r>
                  <w:r>
                    <w:br/>
                  </w:r>
                  <w:r>
                    <w:rPr>
                      <w:rFonts w:ascii="仿宋_GB2312" w:hAnsi="仿宋_GB2312" w:cs="仿宋_GB2312" w:eastAsia="仿宋_GB2312"/>
                      <w:sz w:val="24"/>
                      <w:color w:val="0000FF"/>
                    </w:rPr>
                    <w:t>2.柜体尺寸:0.8*1.2*3m</w:t>
                  </w:r>
                  <w:r>
                    <w:br/>
                  </w:r>
                  <w:r>
                    <w:rPr>
                      <w:rFonts w:ascii="仿宋_GB2312" w:hAnsi="仿宋_GB2312" w:cs="仿宋_GB2312" w:eastAsia="仿宋_GB2312"/>
                      <w:sz w:val="24"/>
                      <w:color w:val="0000FF"/>
                    </w:rPr>
                    <w:t>3.拆除、清理、垃圾装袋、转运下楼、外运</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155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间</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3</w:t>
                  </w:r>
                </w:p>
              </w:tc>
              <w:tc>
                <w:tcPr>
                  <w:tcW w:type="dxa" w:w="279"/>
                  <w:vMerge/>
                  <w:tcBorders>
                    <w:top w:val="none" w:color="000000" w:sz="4"/>
                    <w:left w:val="none" w:color="000000" w:sz="4"/>
                    <w:bottom w:val="single" w:color="000000" w:sz="4"/>
                    <w:right w:val="single" w:color="000000" w:sz="4"/>
                  </w:tcBorders>
                </w:tc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修补破损墙面</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FF"/>
                    </w:rPr>
                    <w:t>1.墙柜拆除处的破损墙面抹灰找平</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930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4</w:t>
                  </w:r>
                </w:p>
              </w:tc>
              <w:tc>
                <w:tcPr>
                  <w:tcW w:type="dxa" w:w="279"/>
                  <w:vMerge/>
                  <w:tcBorders>
                    <w:top w:val="none" w:color="000000" w:sz="4"/>
                    <w:left w:val="none" w:color="000000" w:sz="4"/>
                    <w:bottom w:val="single" w:color="000000" w:sz="4"/>
                    <w:right w:val="single" w:color="000000" w:sz="4"/>
                  </w:tcBorders>
                </w:tc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地面拆除</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FF"/>
                    </w:rPr>
                    <w:t>1.拆除部位:拆除原始房间地面垫层，厚25cm</w:t>
                  </w:r>
                  <w:r>
                    <w:br/>
                  </w:r>
                  <w:r>
                    <w:rPr>
                      <w:rFonts w:ascii="仿宋_GB2312" w:hAnsi="仿宋_GB2312" w:cs="仿宋_GB2312" w:eastAsia="仿宋_GB2312"/>
                      <w:sz w:val="24"/>
                      <w:color w:val="0000FF"/>
                    </w:rPr>
                    <w:t>2.拆除、清理、垃圾装袋、转运下楼、外运</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2712.5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5</w:t>
                  </w:r>
                </w:p>
              </w:tc>
              <w:tc>
                <w:tcPr>
                  <w:tcW w:type="dxa" w:w="279"/>
                  <w:vMerge/>
                  <w:tcBorders>
                    <w:top w:val="none" w:color="000000" w:sz="4"/>
                    <w:left w:val="none" w:color="000000" w:sz="4"/>
                    <w:bottom w:val="single" w:color="000000" w:sz="4"/>
                    <w:right w:val="single" w:color="000000" w:sz="4"/>
                  </w:tcBorders>
                </w:tc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块料楼地面</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FF"/>
                    </w:rPr>
                    <w:t>1.铺600*600水磨石地砖，砖缝做美缝</w:t>
                  </w:r>
                  <w:r>
                    <w:br/>
                  </w:r>
                  <w:r>
                    <w:rPr>
                      <w:rFonts w:ascii="仿宋_GB2312" w:hAnsi="仿宋_GB2312" w:cs="仿宋_GB2312" w:eastAsia="仿宋_GB2312"/>
                      <w:sz w:val="24"/>
                      <w:color w:val="0000FF"/>
                    </w:rPr>
                    <w:t>2.铺3cm-5cm厚1:2砂灰垫层</w:t>
                  </w:r>
                  <w:r>
                    <w:br/>
                  </w:r>
                  <w:r>
                    <w:rPr>
                      <w:rFonts w:ascii="仿宋_GB2312" w:hAnsi="仿宋_GB2312" w:cs="仿宋_GB2312" w:eastAsia="仿宋_GB2312"/>
                      <w:sz w:val="24"/>
                      <w:color w:val="0000FF"/>
                    </w:rPr>
                    <w:t>3.基层清理</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2712.5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6</w:t>
                  </w:r>
                </w:p>
              </w:tc>
              <w:tc>
                <w:tcPr>
                  <w:tcW w:type="dxa" w:w="279"/>
                  <w:vMerge/>
                  <w:tcBorders>
                    <w:top w:val="none" w:color="000000" w:sz="4"/>
                    <w:left w:val="none" w:color="000000" w:sz="4"/>
                    <w:bottom w:val="single" w:color="000000" w:sz="4"/>
                    <w:right w:val="single" w:color="000000" w:sz="4"/>
                  </w:tcBorders>
                </w:tc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门槛拆除</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FF"/>
                    </w:rPr>
                    <w:t>1.拆除原有门槛</w:t>
                  </w:r>
                  <w:r>
                    <w:br/>
                  </w:r>
                  <w:r>
                    <w:rPr>
                      <w:rFonts w:ascii="仿宋_GB2312" w:hAnsi="仿宋_GB2312" w:cs="仿宋_GB2312" w:eastAsia="仿宋_GB2312"/>
                      <w:sz w:val="24"/>
                      <w:color w:val="0000FF"/>
                    </w:rPr>
                    <w:t>2.拆除、清理、垃圾装袋、转运下楼、外运</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155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个</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7</w:t>
                  </w:r>
                </w:p>
              </w:tc>
              <w:tc>
                <w:tcPr>
                  <w:tcW w:type="dxa" w:w="279"/>
                  <w:vMerge/>
                  <w:tcBorders>
                    <w:top w:val="none" w:color="000000" w:sz="4"/>
                    <w:left w:val="none" w:color="000000" w:sz="4"/>
                    <w:bottom w:val="single" w:color="000000" w:sz="4"/>
                    <w:right w:val="single" w:color="000000" w:sz="4"/>
                  </w:tcBorders>
                </w:tc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踢脚线拆除</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FF"/>
                    </w:rPr>
                    <w:t>1.拆除原有踢脚线</w:t>
                  </w:r>
                  <w:r>
                    <w:br/>
                  </w:r>
                  <w:r>
                    <w:rPr>
                      <w:rFonts w:ascii="仿宋_GB2312" w:hAnsi="仿宋_GB2312" w:cs="仿宋_GB2312" w:eastAsia="仿宋_GB2312"/>
                      <w:sz w:val="24"/>
                      <w:color w:val="0000FF"/>
                    </w:rPr>
                    <w:t>2.拆除、清理、垃圾、装袋、转运下楼、外运</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2402.5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m</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8</w:t>
                  </w:r>
                </w:p>
              </w:tc>
              <w:tc>
                <w:tcPr>
                  <w:tcW w:type="dxa" w:w="279"/>
                  <w:vMerge/>
                  <w:tcBorders>
                    <w:top w:val="none" w:color="000000" w:sz="4"/>
                    <w:left w:val="none" w:color="000000" w:sz="4"/>
                    <w:bottom w:val="single" w:color="000000" w:sz="4"/>
                    <w:right w:val="single" w:color="000000" w:sz="4"/>
                  </w:tcBorders>
                </w:tc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块料踢脚线</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FF"/>
                    </w:rPr>
                    <w:t>1.踢脚线高度:150mm</w:t>
                  </w:r>
                  <w:r>
                    <w:br/>
                  </w:r>
                  <w:r>
                    <w:rPr>
                      <w:rFonts w:ascii="仿宋_GB2312" w:hAnsi="仿宋_GB2312" w:cs="仿宋_GB2312" w:eastAsia="仿宋_GB2312"/>
                      <w:sz w:val="24"/>
                      <w:color w:val="0000FF"/>
                    </w:rPr>
                    <w:t>2.瓷砖踢脚</w:t>
                  </w:r>
                  <w:r>
                    <w:br/>
                  </w:r>
                  <w:r>
                    <w:rPr>
                      <w:rFonts w:ascii="仿宋_GB2312" w:hAnsi="仿宋_GB2312" w:cs="仿宋_GB2312" w:eastAsia="仿宋_GB2312"/>
                      <w:sz w:val="24"/>
                      <w:color w:val="0000FF"/>
                    </w:rPr>
                    <w:t>3.水泥砂浆粘贴</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2402.5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m</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9</w:t>
                  </w:r>
                </w:p>
              </w:tc>
              <w:tc>
                <w:tcPr>
                  <w:tcW w:type="dxa" w:w="279"/>
                  <w:vMerge/>
                  <w:tcBorders>
                    <w:top w:val="none" w:color="000000" w:sz="4"/>
                    <w:left w:val="none" w:color="000000" w:sz="4"/>
                    <w:bottom w:val="single" w:color="000000" w:sz="4"/>
                    <w:right w:val="single" w:color="000000" w:sz="4"/>
                  </w:tcBorders>
                </w:tc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组合家具搬移</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FF"/>
                    </w:rPr>
                    <w:t>1.组合家具（床、柜子、桌椅等）按学校要求拆解后搬运下楼，运至学校指定地方，归类堆放整齐</w:t>
                  </w:r>
                  <w:r>
                    <w:br/>
                  </w:r>
                  <w:r>
                    <w:rPr>
                      <w:rFonts w:ascii="仿宋_GB2312" w:hAnsi="仿宋_GB2312" w:cs="仿宋_GB2312" w:eastAsia="仿宋_GB2312"/>
                      <w:sz w:val="24"/>
                      <w:color w:val="0000FF"/>
                    </w:rPr>
                    <w:t>2.按学校要求，部分家具由施工单位直接拉走</w:t>
                  </w:r>
                  <w:r>
                    <w:br/>
                  </w:r>
                  <w:r>
                    <w:rPr>
                      <w:rFonts w:ascii="仿宋_GB2312" w:hAnsi="仿宋_GB2312" w:cs="仿宋_GB2312" w:eastAsia="仿宋_GB2312"/>
                      <w:sz w:val="24"/>
                      <w:color w:val="0000FF"/>
                    </w:rPr>
                    <w:t>3.家具中垃圾清理干净，垃圾外运、弃置</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155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间</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10</w:t>
                  </w:r>
                </w:p>
              </w:tc>
              <w:tc>
                <w:tcPr>
                  <w:tcW w:type="dxa" w:w="279"/>
                  <w:vMerge/>
                  <w:tcBorders>
                    <w:top w:val="none" w:color="000000" w:sz="4"/>
                    <w:left w:val="none" w:color="000000" w:sz="4"/>
                    <w:bottom w:val="single" w:color="000000" w:sz="4"/>
                    <w:right w:val="single" w:color="000000" w:sz="4"/>
                  </w:tcBorders>
                </w:tc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木门拆除</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FF"/>
                    </w:rPr>
                    <w:t>1.尺寸:900*2600mm</w:t>
                  </w:r>
                  <w:r>
                    <w:br/>
                  </w:r>
                  <w:r>
                    <w:rPr>
                      <w:rFonts w:ascii="仿宋_GB2312" w:hAnsi="仿宋_GB2312" w:cs="仿宋_GB2312" w:eastAsia="仿宋_GB2312"/>
                      <w:sz w:val="24"/>
                      <w:color w:val="0000FF"/>
                    </w:rPr>
                    <w:t>2.拆除、清理、垃圾装袋、转运下楼、外运</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155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樘</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11</w:t>
                  </w:r>
                </w:p>
              </w:tc>
              <w:tc>
                <w:tcPr>
                  <w:tcW w:type="dxa" w:w="279"/>
                  <w:vMerge/>
                  <w:tcBorders>
                    <w:top w:val="none" w:color="000000" w:sz="4"/>
                    <w:left w:val="none" w:color="000000" w:sz="4"/>
                    <w:bottom w:val="single" w:color="000000" w:sz="4"/>
                    <w:right w:val="single" w:color="000000" w:sz="4"/>
                  </w:tcBorders>
                </w:tc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门洞口抹灰修补</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FF"/>
                    </w:rPr>
                    <w:t>1.线条部位、宽度:门洞口，500mm宽</w:t>
                  </w:r>
                  <w:r>
                    <w:br/>
                  </w:r>
                  <w:r>
                    <w:rPr>
                      <w:rFonts w:ascii="仿宋_GB2312" w:hAnsi="仿宋_GB2312" w:cs="仿宋_GB2312" w:eastAsia="仿宋_GB2312"/>
                      <w:sz w:val="24"/>
                      <w:color w:val="0000FF"/>
                    </w:rPr>
                    <w:t>2.找平层厚度、砂浆种类及强度等级:抹灰修补</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930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m</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12</w:t>
                  </w:r>
                </w:p>
              </w:tc>
              <w:tc>
                <w:tcPr>
                  <w:tcW w:type="dxa" w:w="279"/>
                  <w:vMerge/>
                  <w:tcBorders>
                    <w:top w:val="none" w:color="000000" w:sz="4"/>
                    <w:left w:val="none" w:color="000000" w:sz="4"/>
                    <w:bottom w:val="single" w:color="000000" w:sz="4"/>
                    <w:right w:val="single" w:color="000000" w:sz="4"/>
                  </w:tcBorders>
                </w:tc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钢质防盗门</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FF"/>
                    </w:rPr>
                    <w:t>1.门洞口尺寸:900*2600mm</w:t>
                  </w:r>
                  <w:r>
                    <w:br/>
                  </w:r>
                  <w:r>
                    <w:rPr>
                      <w:rFonts w:ascii="仿宋_GB2312" w:hAnsi="仿宋_GB2312" w:cs="仿宋_GB2312" w:eastAsia="仿宋_GB2312"/>
                      <w:sz w:val="24"/>
                      <w:color w:val="0000FF"/>
                    </w:rPr>
                    <w:t>2.定制钢制保温防盗门带上亮，钢板厚度不低于1.2mm</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155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樘</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13</w:t>
                  </w:r>
                </w:p>
              </w:tc>
              <w:tc>
                <w:tcPr>
                  <w:tcW w:type="dxa" w:w="279"/>
                  <w:vMerge/>
                  <w:tcBorders>
                    <w:top w:val="none" w:color="000000" w:sz="4"/>
                    <w:left w:val="none" w:color="000000" w:sz="4"/>
                    <w:bottom w:val="single" w:color="000000" w:sz="4"/>
                    <w:right w:val="single" w:color="000000" w:sz="4"/>
                  </w:tcBorders>
                </w:tc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墙体刻槽</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FF"/>
                    </w:rPr>
                    <w:t>1.规格:刻槽尺寸小于70</w:t>
                  </w:r>
                  <w:r>
                    <w:br/>
                  </w:r>
                  <w:r>
                    <w:rPr>
                      <w:rFonts w:ascii="仿宋_GB2312" w:hAnsi="仿宋_GB2312" w:cs="仿宋_GB2312" w:eastAsia="仿宋_GB2312"/>
                      <w:sz w:val="24"/>
                      <w:color w:val="0000FF"/>
                    </w:rPr>
                    <w:t>2.填充(恢复)方式:符合相关规范及要求，综合考虑，水泥砂浆抹面</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5177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m</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14</w:t>
                  </w:r>
                </w:p>
              </w:tc>
              <w:tc>
                <w:tcPr>
                  <w:tcW w:type="dxa" w:w="279"/>
                  <w:vMerge/>
                  <w:tcBorders>
                    <w:top w:val="none" w:color="000000" w:sz="4"/>
                    <w:left w:val="none" w:color="000000" w:sz="4"/>
                    <w:bottom w:val="single" w:color="000000" w:sz="4"/>
                    <w:right w:val="single" w:color="000000" w:sz="4"/>
                  </w:tcBorders>
                </w:tc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电气配管</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FF"/>
                    </w:rPr>
                    <w:t>1.名称:阻燃pc20</w:t>
                  </w:r>
                  <w:r>
                    <w:br/>
                  </w:r>
                  <w:r>
                    <w:rPr>
                      <w:rFonts w:ascii="仿宋_GB2312" w:hAnsi="仿宋_GB2312" w:cs="仿宋_GB2312" w:eastAsia="仿宋_GB2312"/>
                      <w:sz w:val="24"/>
                      <w:color w:val="0000FF"/>
                    </w:rPr>
                    <w:t>2.配置形式及部位:卡扣安装、暗配</w:t>
                  </w:r>
                  <w:r>
                    <w:br/>
                  </w:r>
                  <w:r>
                    <w:rPr>
                      <w:rFonts w:ascii="仿宋_GB2312" w:hAnsi="仿宋_GB2312" w:cs="仿宋_GB2312" w:eastAsia="仿宋_GB2312"/>
                      <w:sz w:val="24"/>
                      <w:color w:val="0000FF"/>
                    </w:rPr>
                    <w:t>3.塑料接线盒、弯头</w:t>
                  </w:r>
                  <w:r>
                    <w:br/>
                  </w:r>
                  <w:r>
                    <w:rPr>
                      <w:rFonts w:ascii="仿宋_GB2312" w:hAnsi="仿宋_GB2312" w:cs="仿宋_GB2312" w:eastAsia="仿宋_GB2312"/>
                      <w:sz w:val="24"/>
                      <w:color w:val="0000FF"/>
                    </w:rPr>
                    <w:t>[工作内容]</w:t>
                  </w:r>
                  <w:r>
                    <w:br/>
                  </w:r>
                  <w:r>
                    <w:rPr>
                      <w:rFonts w:ascii="仿宋_GB2312" w:hAnsi="仿宋_GB2312" w:cs="仿宋_GB2312" w:eastAsia="仿宋_GB2312"/>
                      <w:sz w:val="24"/>
                      <w:color w:val="0000FF"/>
                    </w:rPr>
                    <w:t>1.电线管路敷设</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4247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m</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15</w:t>
                  </w:r>
                </w:p>
              </w:tc>
              <w:tc>
                <w:tcPr>
                  <w:tcW w:type="dxa" w:w="279"/>
                  <w:vMerge/>
                  <w:tcBorders>
                    <w:top w:val="none" w:color="000000" w:sz="4"/>
                    <w:left w:val="none" w:color="000000" w:sz="4"/>
                    <w:bottom w:val="single" w:color="000000" w:sz="4"/>
                    <w:right w:val="single" w:color="000000" w:sz="4"/>
                  </w:tcBorders>
                </w:tc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电气配线</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FF"/>
                    </w:rPr>
                    <w:t>1.导线型号:BV-2.5</w:t>
                  </w:r>
                  <w:r>
                    <w:br/>
                  </w:r>
                  <w:r>
                    <w:rPr>
                      <w:rFonts w:ascii="仿宋_GB2312" w:hAnsi="仿宋_GB2312" w:cs="仿宋_GB2312" w:eastAsia="仿宋_GB2312"/>
                      <w:sz w:val="24"/>
                      <w:color w:val="0000FF"/>
                    </w:rPr>
                    <w:t>2.敷设部位:管内穿线</w:t>
                  </w:r>
                  <w:r>
                    <w:br/>
                  </w:r>
                  <w:r>
                    <w:rPr>
                      <w:rFonts w:ascii="仿宋_GB2312" w:hAnsi="仿宋_GB2312" w:cs="仿宋_GB2312" w:eastAsia="仿宋_GB2312"/>
                      <w:sz w:val="24"/>
                      <w:color w:val="0000FF"/>
                    </w:rPr>
                    <w:t>[工作内容]</w:t>
                  </w:r>
                  <w:r>
                    <w:br/>
                  </w:r>
                  <w:r>
                    <w:rPr>
                      <w:rFonts w:ascii="仿宋_GB2312" w:hAnsi="仿宋_GB2312" w:cs="仿宋_GB2312" w:eastAsia="仿宋_GB2312"/>
                      <w:sz w:val="24"/>
                      <w:color w:val="0000FF"/>
                    </w:rPr>
                    <w:t>1.配线</w:t>
                  </w:r>
                  <w:r>
                    <w:br/>
                  </w:r>
                  <w:r>
                    <w:rPr>
                      <w:rFonts w:ascii="仿宋_GB2312" w:hAnsi="仿宋_GB2312" w:cs="仿宋_GB2312" w:eastAsia="仿宋_GB2312"/>
                      <w:sz w:val="24"/>
                      <w:color w:val="0000FF"/>
                    </w:rPr>
                    <w:t>2.管内穿线</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8370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m</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16</w:t>
                  </w:r>
                </w:p>
              </w:tc>
              <w:tc>
                <w:tcPr>
                  <w:tcW w:type="dxa" w:w="279"/>
                  <w:vMerge/>
                  <w:tcBorders>
                    <w:top w:val="none" w:color="000000" w:sz="4"/>
                    <w:left w:val="none" w:color="000000" w:sz="4"/>
                    <w:bottom w:val="single" w:color="000000" w:sz="4"/>
                    <w:right w:val="single" w:color="000000" w:sz="4"/>
                  </w:tcBorders>
                </w:tc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开关更换</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FF"/>
                    </w:rPr>
                    <w:t>1.原开关面板拆除</w:t>
                  </w:r>
                  <w:r>
                    <w:br/>
                  </w:r>
                  <w:r>
                    <w:rPr>
                      <w:rFonts w:ascii="仿宋_GB2312" w:hAnsi="仿宋_GB2312" w:cs="仿宋_GB2312" w:eastAsia="仿宋_GB2312"/>
                      <w:sz w:val="24"/>
                      <w:color w:val="0000FF"/>
                    </w:rPr>
                    <w:t>2.面板安装</w:t>
                  </w:r>
                  <w:r>
                    <w:br/>
                  </w:r>
                  <w:r>
                    <w:rPr>
                      <w:rFonts w:ascii="仿宋_GB2312" w:hAnsi="仿宋_GB2312" w:cs="仿宋_GB2312" w:eastAsia="仿宋_GB2312"/>
                      <w:sz w:val="24"/>
                      <w:color w:val="0000FF"/>
                    </w:rPr>
                    <w:t>3.焊、压接线端子</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155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套</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17</w:t>
                  </w:r>
                </w:p>
              </w:tc>
              <w:tc>
                <w:tcPr>
                  <w:tcW w:type="dxa" w:w="279"/>
                  <w:vMerge/>
                  <w:tcBorders>
                    <w:top w:val="none" w:color="000000" w:sz="4"/>
                    <w:left w:val="none" w:color="000000" w:sz="4"/>
                    <w:bottom w:val="single" w:color="000000" w:sz="4"/>
                    <w:right w:val="single" w:color="000000" w:sz="4"/>
                  </w:tcBorders>
                </w:tc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插座</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FF"/>
                    </w:rPr>
                    <w:t>1.安装带控制开关式斜五孔插座</w:t>
                  </w:r>
                  <w:r>
                    <w:br/>
                  </w:r>
                  <w:r>
                    <w:rPr>
                      <w:rFonts w:ascii="仿宋_GB2312" w:hAnsi="仿宋_GB2312" w:cs="仿宋_GB2312" w:eastAsia="仿宋_GB2312"/>
                      <w:sz w:val="24"/>
                      <w:color w:val="0000FF"/>
                    </w:rPr>
                    <w:t>2.焊、压接线端子</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1860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套</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18</w:t>
                  </w:r>
                </w:p>
              </w:tc>
              <w:tc>
                <w:tcPr>
                  <w:tcW w:type="dxa" w:w="279"/>
                  <w:vMerge/>
                  <w:tcBorders>
                    <w:top w:val="none" w:color="000000" w:sz="4"/>
                    <w:left w:val="none" w:color="000000" w:sz="4"/>
                    <w:bottom w:val="single" w:color="000000" w:sz="4"/>
                    <w:right w:val="single" w:color="000000" w:sz="4"/>
                  </w:tcBorders>
                </w:tc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弱电配线</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FF"/>
                    </w:rPr>
                    <w:t>1.名称:UTP-CAT6</w:t>
                  </w:r>
                  <w:r>
                    <w:br/>
                  </w:r>
                  <w:r>
                    <w:rPr>
                      <w:rFonts w:ascii="仿宋_GB2312" w:hAnsi="仿宋_GB2312" w:cs="仿宋_GB2312" w:eastAsia="仿宋_GB2312"/>
                      <w:sz w:val="24"/>
                      <w:color w:val="0000FF"/>
                    </w:rPr>
                    <w:t>2.敷设环境:穿管</w:t>
                  </w:r>
                  <w:r>
                    <w:br/>
                  </w:r>
                  <w:r>
                    <w:rPr>
                      <w:rFonts w:ascii="仿宋_GB2312" w:hAnsi="仿宋_GB2312" w:cs="仿宋_GB2312" w:eastAsia="仿宋_GB2312"/>
                      <w:sz w:val="24"/>
                      <w:color w:val="0000FF"/>
                    </w:rPr>
                    <w:t>[工作内容]</w:t>
                  </w:r>
                  <w:r>
                    <w:br/>
                  </w:r>
                  <w:r>
                    <w:rPr>
                      <w:rFonts w:ascii="仿宋_GB2312" w:hAnsi="仿宋_GB2312" w:cs="仿宋_GB2312" w:eastAsia="仿宋_GB2312"/>
                      <w:sz w:val="24"/>
                      <w:color w:val="0000FF"/>
                    </w:rPr>
                    <w:t>1.敷设、测试</w:t>
                  </w:r>
                  <w:r>
                    <w:br/>
                  </w:r>
                  <w:r>
                    <w:rPr>
                      <w:rFonts w:ascii="仿宋_GB2312" w:hAnsi="仿宋_GB2312" w:cs="仿宋_GB2312" w:eastAsia="仿宋_GB2312"/>
                      <w:sz w:val="24"/>
                      <w:color w:val="0000FF"/>
                    </w:rPr>
                    <w:t>2.卡接（配线架侧）</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3844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m</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19</w:t>
                  </w:r>
                </w:p>
              </w:tc>
              <w:tc>
                <w:tcPr>
                  <w:tcW w:type="dxa" w:w="279"/>
                  <w:vMerge/>
                  <w:tcBorders>
                    <w:top w:val="none" w:color="000000" w:sz="4"/>
                    <w:left w:val="none" w:color="000000" w:sz="4"/>
                    <w:bottom w:val="single" w:color="000000" w:sz="4"/>
                    <w:right w:val="single" w:color="000000" w:sz="4"/>
                  </w:tcBorders>
                </w:tc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弱电插座</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FF"/>
                    </w:rPr>
                    <w:t>1.安装方式:距地0.3M</w:t>
                  </w:r>
                  <w:r>
                    <w:br/>
                  </w:r>
                  <w:r>
                    <w:rPr>
                      <w:rFonts w:ascii="仿宋_GB2312" w:hAnsi="仿宋_GB2312" w:cs="仿宋_GB2312" w:eastAsia="仿宋_GB2312"/>
                      <w:sz w:val="24"/>
                      <w:color w:val="0000FF"/>
                    </w:rPr>
                    <w:t>[工程内容]</w:t>
                  </w:r>
                  <w:r>
                    <w:br/>
                  </w:r>
                  <w:r>
                    <w:rPr>
                      <w:rFonts w:ascii="仿宋_GB2312" w:hAnsi="仿宋_GB2312" w:cs="仿宋_GB2312" w:eastAsia="仿宋_GB2312"/>
                      <w:sz w:val="24"/>
                      <w:color w:val="0000FF"/>
                    </w:rPr>
                    <w:t>1.安装、卡接、测试</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775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个</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20</w:t>
                  </w:r>
                </w:p>
              </w:tc>
              <w:tc>
                <w:tcPr>
                  <w:tcW w:type="dxa" w:w="279"/>
                  <w:vMerge/>
                  <w:tcBorders>
                    <w:top w:val="none" w:color="000000" w:sz="4"/>
                    <w:left w:val="none" w:color="000000" w:sz="4"/>
                    <w:bottom w:val="single" w:color="000000" w:sz="4"/>
                    <w:right w:val="single" w:color="000000" w:sz="4"/>
                  </w:tcBorders>
                </w:tc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交换机安装</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FF"/>
                    </w:rPr>
                    <w:t>名称</w:t>
                  </w:r>
                  <w:r>
                    <w:rPr>
                      <w:rFonts w:ascii="仿宋_GB2312" w:hAnsi="仿宋_GB2312" w:cs="仿宋_GB2312" w:eastAsia="仿宋_GB2312"/>
                      <w:sz w:val="24"/>
                      <w:color w:val="0000FF"/>
                    </w:rPr>
                    <w:t>:8路千兆交换机</w:t>
                  </w:r>
                  <w:r>
                    <w:br/>
                  </w:r>
                  <w:r>
                    <w:rPr>
                      <w:rFonts w:ascii="仿宋_GB2312" w:hAnsi="仿宋_GB2312" w:cs="仿宋_GB2312" w:eastAsia="仿宋_GB2312"/>
                      <w:sz w:val="24"/>
                      <w:color w:val="0000FF"/>
                    </w:rPr>
                    <w:t>[工作内容]</w:t>
                  </w:r>
                  <w:r>
                    <w:br/>
                  </w:r>
                  <w:r>
                    <w:rPr>
                      <w:rFonts w:ascii="仿宋_GB2312" w:hAnsi="仿宋_GB2312" w:cs="仿宋_GB2312" w:eastAsia="仿宋_GB2312"/>
                      <w:sz w:val="24"/>
                      <w:color w:val="0000FF"/>
                    </w:rPr>
                    <w:t>1.本体安装</w:t>
                  </w:r>
                  <w:r>
                    <w:br/>
                  </w:r>
                  <w:r>
                    <w:rPr>
                      <w:rFonts w:ascii="仿宋_GB2312" w:hAnsi="仿宋_GB2312" w:cs="仿宋_GB2312" w:eastAsia="仿宋_GB2312"/>
                      <w:sz w:val="24"/>
                      <w:color w:val="0000FF"/>
                    </w:rPr>
                    <w:t>2.电气、网络接通</w:t>
                  </w:r>
                  <w:r>
                    <w:br/>
                  </w:r>
                  <w:r>
                    <w:rPr>
                      <w:rFonts w:ascii="仿宋_GB2312" w:hAnsi="仿宋_GB2312" w:cs="仿宋_GB2312" w:eastAsia="仿宋_GB2312"/>
                      <w:sz w:val="24"/>
                      <w:color w:val="0000FF"/>
                    </w:rPr>
                    <w:t>3.单体测试</w:t>
                  </w:r>
                  <w:r>
                    <w:br/>
                  </w:r>
                  <w:r>
                    <w:rPr>
                      <w:rFonts w:ascii="仿宋_GB2312" w:hAnsi="仿宋_GB2312" w:cs="仿宋_GB2312" w:eastAsia="仿宋_GB2312"/>
                      <w:sz w:val="24"/>
                      <w:color w:val="0000FF"/>
                    </w:rPr>
                    <w:t>4.设备网络箱固定安装</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155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台</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21</w:t>
                  </w:r>
                </w:p>
              </w:tc>
              <w:tc>
                <w:tcPr>
                  <w:tcW w:type="dxa" w:w="279"/>
                  <w:vMerge/>
                  <w:tcBorders>
                    <w:top w:val="none" w:color="000000" w:sz="4"/>
                    <w:left w:val="none" w:color="000000" w:sz="4"/>
                    <w:bottom w:val="single" w:color="000000" w:sz="4"/>
                    <w:right w:val="single" w:color="000000" w:sz="4"/>
                  </w:tcBorders>
                </w:tc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灯具更换</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FF"/>
                    </w:rPr>
                    <w:t>拆除旧灯具，房间内安装</w:t>
                  </w:r>
                  <w:r>
                    <w:rPr>
                      <w:rFonts w:ascii="仿宋_GB2312" w:hAnsi="仿宋_GB2312" w:cs="仿宋_GB2312" w:eastAsia="仿宋_GB2312"/>
                      <w:sz w:val="24"/>
                      <w:color w:val="0000FF"/>
                    </w:rPr>
                    <w:t>300mm*1200mm 条形LED照明灯具</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155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套</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22</w:t>
                  </w:r>
                </w:p>
              </w:tc>
              <w:tc>
                <w:tcPr>
                  <w:tcW w:type="dxa" w:w="279"/>
                  <w:vMerge/>
                  <w:tcBorders>
                    <w:top w:val="none" w:color="000000" w:sz="4"/>
                    <w:left w:val="none" w:color="000000" w:sz="4"/>
                    <w:bottom w:val="single" w:color="000000" w:sz="4"/>
                    <w:right w:val="single" w:color="000000" w:sz="4"/>
                  </w:tcBorders>
                </w:tc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暂列金</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FF"/>
                    </w:rPr>
                    <w:t>￥</w:t>
                  </w:r>
                  <w:r>
                    <w:rPr>
                      <w:rFonts w:ascii="仿宋_GB2312" w:hAnsi="仿宋_GB2312" w:cs="仿宋_GB2312" w:eastAsia="仿宋_GB2312"/>
                      <w:sz w:val="24"/>
                      <w:color w:val="0000FF"/>
                    </w:rPr>
                    <w:t>140,000.00</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项</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23</w:t>
                  </w:r>
                </w:p>
              </w:tc>
              <w:tc>
                <w:tcPr>
                  <w:tcW w:type="dxa" w:w="279"/>
                  <w:vMerge/>
                  <w:tcBorders>
                    <w:top w:val="none" w:color="000000" w:sz="4"/>
                    <w:left w:val="none" w:color="000000" w:sz="4"/>
                    <w:bottom w:val="single" w:color="000000" w:sz="4"/>
                    <w:right w:val="single" w:color="000000" w:sz="4"/>
                  </w:tcBorders>
                </w:tc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垃圾清运</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FF"/>
                    </w:rPr>
                    <w:t>对施工期间所产生的垃圾装袋外运</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1822.14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FF"/>
                    </w:rPr>
                    <w:t>m³</w:t>
                  </w:r>
                </w:p>
              </w:tc>
            </w:tr>
          </w:tbl>
          <w:p>
            <w:pPr>
              <w:pStyle w:val="null3"/>
              <w:ind w:firstLine="482"/>
              <w:jc w:val="both"/>
            </w:pPr>
            <w:r>
              <w:rPr>
                <w:rFonts w:ascii="仿宋_GB2312" w:hAnsi="仿宋_GB2312" w:cs="仿宋_GB2312" w:eastAsia="仿宋_GB2312"/>
                <w:sz w:val="24"/>
                <w:b/>
                <w:color w:val="0000FF"/>
              </w:rPr>
              <w:t>四、</w:t>
            </w:r>
            <w:r>
              <w:rPr>
                <w:rFonts w:ascii="仿宋_GB2312" w:hAnsi="仿宋_GB2312" w:cs="仿宋_GB2312" w:eastAsia="仿宋_GB2312"/>
                <w:sz w:val="24"/>
                <w:b/>
                <w:color w:val="0000FF"/>
              </w:rPr>
              <w:t>图纸：</w:t>
            </w:r>
            <w:r>
              <w:rPr>
                <w:rFonts w:ascii="仿宋_GB2312" w:hAnsi="仿宋_GB2312" w:cs="仿宋_GB2312" w:eastAsia="仿宋_GB2312"/>
                <w:sz w:val="24"/>
                <w:b/>
                <w:color w:val="0000FF"/>
              </w:rPr>
              <w:t>无</w:t>
            </w:r>
            <w:r>
              <w:rPr>
                <w:rFonts w:ascii="仿宋_GB2312" w:hAnsi="仿宋_GB2312" w:cs="仿宋_GB2312" w:eastAsia="仿宋_GB2312"/>
                <w:sz w:val="24"/>
                <w:color w:val="0000FF"/>
              </w:rPr>
              <w:t>。</w:t>
            </w:r>
          </w:p>
          <w:p>
            <w:pPr>
              <w:pStyle w:val="null3"/>
              <w:ind w:firstLine="482"/>
              <w:jc w:val="both"/>
            </w:pPr>
            <w:r>
              <w:rPr>
                <w:rFonts w:ascii="仿宋_GB2312" w:hAnsi="仿宋_GB2312" w:cs="仿宋_GB2312" w:eastAsia="仿宋_GB2312"/>
                <w:sz w:val="24"/>
                <w:b/>
                <w:color w:val="0000FF"/>
              </w:rPr>
              <w:t>五、</w:t>
            </w:r>
            <w:r>
              <w:rPr>
                <w:rFonts w:ascii="仿宋_GB2312" w:hAnsi="仿宋_GB2312" w:cs="仿宋_GB2312" w:eastAsia="仿宋_GB2312"/>
                <w:sz w:val="24"/>
                <w:b/>
                <w:color w:val="0000FF"/>
              </w:rPr>
              <w:t>主要材料技术参数要求</w:t>
            </w:r>
          </w:p>
          <w:tbl>
            <w:tblPr>
              <w:tblBorders>
                <w:top w:val="none" w:color="000000" w:sz="4"/>
                <w:left w:val="none" w:color="000000" w:sz="4"/>
                <w:bottom w:val="none" w:color="000000" w:sz="4"/>
                <w:right w:val="none" w:color="000000" w:sz="4"/>
                <w:insideH w:val="none"/>
                <w:insideV w:val="none"/>
              </w:tblBorders>
            </w:tblPr>
            <w:tblGrid>
              <w:gridCol w:w="239"/>
              <w:gridCol w:w="275"/>
              <w:gridCol w:w="392"/>
              <w:gridCol w:w="1593"/>
            </w:tblGrid>
            <w:tr>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序号</w:t>
                  </w:r>
                </w:p>
              </w:tc>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类别</w:t>
                  </w:r>
                </w:p>
              </w:tc>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材料名称</w:t>
                  </w:r>
                </w:p>
              </w:tc>
              <w:tc>
                <w:tcPr>
                  <w:tcW w:type="dxa" w:w="1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参数、标准、要求</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装饰装修</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乳胶漆</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 乳胶漆挥发性有机化合物含量（60°光泽≤10）≤50g/L</w:t>
                  </w:r>
                  <w:r>
                    <w:rPr>
                      <w:rFonts w:ascii="仿宋_GB2312" w:hAnsi="仿宋_GB2312" w:cs="仿宋_GB2312" w:eastAsia="仿宋_GB2312"/>
                      <w:sz w:val="24"/>
                      <w:color w:val="0000FF"/>
                    </w:rPr>
                    <w:t>；</w:t>
                  </w:r>
                </w:p>
                <w:p>
                  <w:pPr>
                    <w:pStyle w:val="null3"/>
                    <w:jc w:val="left"/>
                  </w:pPr>
                  <w:r>
                    <w:rPr>
                      <w:rFonts w:ascii="仿宋_GB2312" w:hAnsi="仿宋_GB2312" w:cs="仿宋_GB2312" w:eastAsia="仿宋_GB2312"/>
                      <w:sz w:val="24"/>
                      <w:color w:val="0000FF"/>
                    </w:rPr>
                    <w:t>2. 乳胶漆挥发性有机化合物含量（60°光泽＞10）≤80g/L</w:t>
                  </w:r>
                  <w:r>
                    <w:rPr>
                      <w:rFonts w:ascii="仿宋_GB2312" w:hAnsi="仿宋_GB2312" w:cs="仿宋_GB2312" w:eastAsia="仿宋_GB2312"/>
                      <w:sz w:val="24"/>
                      <w:color w:val="0000FF"/>
                    </w:rPr>
                    <w:t>；</w:t>
                  </w:r>
                </w:p>
                <w:p>
                  <w:pPr>
                    <w:pStyle w:val="null3"/>
                    <w:jc w:val="left"/>
                  </w:pPr>
                  <w:r>
                    <w:rPr>
                      <w:rFonts w:ascii="仿宋_GB2312" w:hAnsi="仿宋_GB2312" w:cs="仿宋_GB2312" w:eastAsia="仿宋_GB2312"/>
                      <w:sz w:val="24"/>
                      <w:color w:val="0000FF"/>
                    </w:rPr>
                    <w:t>3. 乳胶漆甲醛含量（乙酰丙酮法）≤30mg/kg</w:t>
                  </w:r>
                  <w:r>
                    <w:rPr>
                      <w:rFonts w:ascii="仿宋_GB2312" w:hAnsi="仿宋_GB2312" w:cs="仿宋_GB2312" w:eastAsia="仿宋_GB2312"/>
                      <w:sz w:val="24"/>
                      <w:color w:val="0000FF"/>
                    </w:rPr>
                    <w:t>；</w:t>
                  </w:r>
                </w:p>
                <w:p>
                  <w:pPr>
                    <w:pStyle w:val="null3"/>
                    <w:jc w:val="left"/>
                  </w:pPr>
                  <w:r>
                    <w:rPr>
                      <w:rFonts w:ascii="仿宋_GB2312" w:hAnsi="仿宋_GB2312" w:cs="仿宋_GB2312" w:eastAsia="仿宋_GB2312"/>
                      <w:sz w:val="24"/>
                      <w:color w:val="0000FF"/>
                    </w:rPr>
                    <w:t>4. 乳胶漆苯、甲苯、乙苯、二甲苯总和≤80mg/kg</w:t>
                  </w:r>
                  <w:r>
                    <w:rPr>
                      <w:rFonts w:ascii="仿宋_GB2312" w:hAnsi="仿宋_GB2312" w:cs="仿宋_GB2312" w:eastAsia="仿宋_GB2312"/>
                      <w:sz w:val="24"/>
                      <w:color w:val="0000FF"/>
                    </w:rPr>
                    <w:t>；</w:t>
                  </w:r>
                </w:p>
                <w:p>
                  <w:pPr>
                    <w:pStyle w:val="null3"/>
                    <w:jc w:val="left"/>
                  </w:pPr>
                  <w:r>
                    <w:rPr>
                      <w:rFonts w:ascii="仿宋_GB2312" w:hAnsi="仿宋_GB2312" w:cs="仿宋_GB2312" w:eastAsia="仿宋_GB2312"/>
                      <w:sz w:val="24"/>
                      <w:color w:val="0000FF"/>
                    </w:rPr>
                    <w:t>5.耐洗刷性：≥6000 次</w:t>
                  </w:r>
                  <w:r>
                    <w:rPr>
                      <w:rFonts w:ascii="仿宋_GB2312" w:hAnsi="仿宋_GB2312" w:cs="仿宋_GB2312" w:eastAsia="仿宋_GB2312"/>
                      <w:sz w:val="24"/>
                      <w:color w:val="0000FF"/>
                    </w:rPr>
                    <w:t>；</w:t>
                  </w:r>
                </w:p>
                <w:p>
                  <w:pPr>
                    <w:pStyle w:val="null3"/>
                    <w:jc w:val="left"/>
                  </w:pPr>
                  <w:r>
                    <w:rPr>
                      <w:rFonts w:ascii="仿宋_GB2312" w:hAnsi="仿宋_GB2312" w:cs="仿宋_GB2312" w:eastAsia="仿宋_GB2312"/>
                      <w:sz w:val="24"/>
                      <w:color w:val="0000FF"/>
                    </w:rPr>
                    <w:t>6.</w:t>
                  </w:r>
                  <w:r>
                    <w:rPr>
                      <w:rFonts w:ascii="仿宋_GB2312" w:hAnsi="仿宋_GB2312" w:cs="仿宋_GB2312" w:eastAsia="仿宋_GB2312"/>
                      <w:sz w:val="24"/>
                      <w:color w:val="0000FF"/>
                    </w:rPr>
                    <w:t>非工程款竹炭净味漆，</w:t>
                  </w:r>
                  <w:r>
                    <w:rPr>
                      <w:rFonts w:ascii="仿宋_GB2312" w:hAnsi="仿宋_GB2312" w:cs="仿宋_GB2312" w:eastAsia="仿宋_GB2312"/>
                      <w:sz w:val="24"/>
                      <w:color w:val="0000FF"/>
                    </w:rPr>
                    <w:t>甲醛净化效率</w:t>
                  </w:r>
                  <w:r>
                    <w:rPr>
                      <w:rFonts w:ascii="仿宋_GB2312" w:hAnsi="仿宋_GB2312" w:cs="仿宋_GB2312" w:eastAsia="仿宋_GB2312"/>
                      <w:sz w:val="24"/>
                      <w:color w:val="0000FF"/>
                    </w:rPr>
                    <w:t>≥80%，竹炭颗粒细度≤50纳米，VOC≤10g/L，符合GB18582-2020标准，未添加香精、溶剂，游离甲醛≤5mg/kg，通过CNAS认证，</w:t>
                  </w:r>
                  <w:r>
                    <w:rPr>
                      <w:rFonts w:ascii="仿宋_GB2312" w:hAnsi="仿宋_GB2312" w:cs="仿宋_GB2312" w:eastAsia="仿宋_GB2312"/>
                      <w:sz w:val="24"/>
                      <w:color w:val="0000FF"/>
                    </w:rPr>
                    <w:t>节能环保产品，符合本项目工程量清单、施工图纸相关要求，符合</w:t>
                  </w:r>
                  <w:r>
                    <w:rPr>
                      <w:rFonts w:ascii="仿宋_GB2312" w:hAnsi="仿宋_GB2312" w:cs="仿宋_GB2312" w:eastAsia="仿宋_GB2312"/>
                      <w:sz w:val="24"/>
                      <w:color w:val="0000FF"/>
                    </w:rPr>
                    <w:t>国家相关标准、规范</w:t>
                  </w:r>
                  <w:r>
                    <w:rPr>
                      <w:rFonts w:ascii="仿宋_GB2312" w:hAnsi="仿宋_GB2312" w:cs="仿宋_GB2312" w:eastAsia="仿宋_GB2312"/>
                      <w:sz w:val="24"/>
                      <w:color w:val="0000FF"/>
                    </w:rPr>
                    <w:t>；</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275"/>
                  <w:vMerge/>
                  <w:tcBorders>
                    <w:top w:val="none" w:color="000000" w:sz="4"/>
                    <w:left w:val="single" w:color="000000" w:sz="4"/>
                    <w:bottom w:val="single" w:color="000000" w:sz="4"/>
                    <w:right w:val="single" w:color="000000" w:sz="4"/>
                  </w:tcBorders>
                </w:tcP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防盗门</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钢制乙级保温防盗门，门的传热系数</w:t>
                  </w:r>
                  <w:r>
                    <w:rPr>
                      <w:rFonts w:ascii="仿宋_GB2312" w:hAnsi="仿宋_GB2312" w:cs="仿宋_GB2312" w:eastAsia="仿宋_GB2312"/>
                      <w:sz w:val="24"/>
                      <w:color w:val="0000FF"/>
                    </w:rPr>
                    <w:t>K=2.1W/(m2.K)。门扇厚度不低于70，门扇钢板厚度不低于1.2mm，门框钢板厚度不低于1.5mm，C级锁芯，明装单活不锈钢把手。门型深化设计，经甲方审核确定后加工。节能环保产品，符合本项目工程量清单相关要求，符合</w:t>
                  </w:r>
                  <w:r>
                    <w:rPr>
                      <w:rFonts w:ascii="仿宋_GB2312" w:hAnsi="仿宋_GB2312" w:cs="仿宋_GB2312" w:eastAsia="仿宋_GB2312"/>
                      <w:sz w:val="24"/>
                      <w:color w:val="0000FF"/>
                    </w:rPr>
                    <w:t>国家相关标准、规范</w:t>
                  </w:r>
                  <w:r>
                    <w:rPr>
                      <w:rFonts w:ascii="仿宋_GB2312" w:hAnsi="仿宋_GB2312" w:cs="仿宋_GB2312" w:eastAsia="仿宋_GB2312"/>
                      <w:sz w:val="24"/>
                      <w:color w:val="0000FF"/>
                    </w:rPr>
                    <w:t>；</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w:t>
                  </w:r>
                </w:p>
              </w:tc>
              <w:tc>
                <w:tcPr>
                  <w:tcW w:type="dxa" w:w="275"/>
                  <w:vMerge/>
                  <w:tcBorders>
                    <w:top w:val="none" w:color="000000" w:sz="4"/>
                    <w:left w:val="single" w:color="000000" w:sz="4"/>
                    <w:bottom w:val="single" w:color="000000" w:sz="4"/>
                    <w:right w:val="single" w:color="000000" w:sz="4"/>
                  </w:tcBorders>
                </w:tcP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阻燃木工板</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15mm厚，节能环保产品，符合本项目工程量清单、施工图纸相关要求，符合</w:t>
                  </w:r>
                  <w:r>
                    <w:rPr>
                      <w:rFonts w:ascii="仿宋_GB2312" w:hAnsi="仿宋_GB2312" w:cs="仿宋_GB2312" w:eastAsia="仿宋_GB2312"/>
                      <w:sz w:val="24"/>
                      <w:color w:val="0000FF"/>
                    </w:rPr>
                    <w:t>国家相关标准、规范</w:t>
                  </w:r>
                  <w:r>
                    <w:rPr>
                      <w:rFonts w:ascii="仿宋_GB2312" w:hAnsi="仿宋_GB2312" w:cs="仿宋_GB2312" w:eastAsia="仿宋_GB2312"/>
                      <w:sz w:val="24"/>
                      <w:color w:val="0000FF"/>
                    </w:rPr>
                    <w:t>；</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w:t>
                  </w:r>
                </w:p>
              </w:tc>
              <w:tc>
                <w:tcPr>
                  <w:tcW w:type="dxa" w:w="275"/>
                  <w:vMerge/>
                  <w:tcBorders>
                    <w:top w:val="none" w:color="000000" w:sz="4"/>
                    <w:left w:val="single" w:color="000000" w:sz="4"/>
                    <w:bottom w:val="single" w:color="000000" w:sz="4"/>
                    <w:right w:val="single" w:color="000000" w:sz="4"/>
                  </w:tcBorders>
                </w:tcP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玻璃胶</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1.单位产品总挥发性有机物（TVOC）含量≤80g/kg</w:t>
                  </w:r>
                  <w:r>
                    <w:rPr>
                      <w:rFonts w:ascii="仿宋_GB2312" w:hAnsi="仿宋_GB2312" w:cs="仿宋_GB2312" w:eastAsia="仿宋_GB2312"/>
                      <w:sz w:val="24"/>
                      <w:color w:val="0000FF"/>
                    </w:rPr>
                    <w:t>；</w:t>
                  </w:r>
                </w:p>
                <w:p>
                  <w:pPr>
                    <w:pStyle w:val="null3"/>
                    <w:jc w:val="left"/>
                  </w:pPr>
                  <w:r>
                    <w:rPr>
                      <w:rFonts w:ascii="仿宋_GB2312" w:hAnsi="仿宋_GB2312" w:cs="仿宋_GB2312" w:eastAsia="仿宋_GB2312"/>
                      <w:sz w:val="24"/>
                      <w:color w:val="0000FF"/>
                    </w:rPr>
                    <w:t>2.烷烃增塑剂（红外光谱）不得检出</w:t>
                  </w:r>
                  <w:r>
                    <w:rPr>
                      <w:rFonts w:ascii="仿宋_GB2312" w:hAnsi="仿宋_GB2312" w:cs="仿宋_GB2312" w:eastAsia="仿宋_GB2312"/>
                      <w:sz w:val="24"/>
                      <w:color w:val="0000FF"/>
                    </w:rPr>
                    <w:t>；</w:t>
                  </w:r>
                </w:p>
                <w:p>
                  <w:pPr>
                    <w:pStyle w:val="null3"/>
                    <w:jc w:val="left"/>
                  </w:pPr>
                  <w:r>
                    <w:rPr>
                      <w:rFonts w:ascii="仿宋_GB2312" w:hAnsi="仿宋_GB2312" w:cs="仿宋_GB2312" w:eastAsia="仿宋_GB2312"/>
                      <w:sz w:val="24"/>
                      <w:color w:val="0000FF"/>
                    </w:rPr>
                    <w:t>3. 密封胶分级达到 20HM、25HM、20LM</w:t>
                  </w:r>
                  <w:r>
                    <w:rPr>
                      <w:rFonts w:ascii="仿宋_GB2312" w:hAnsi="仿宋_GB2312" w:cs="仿宋_GB2312" w:eastAsia="仿宋_GB2312"/>
                      <w:sz w:val="24"/>
                      <w:color w:val="0000FF"/>
                    </w:rPr>
                    <w:t>；</w:t>
                  </w:r>
                </w:p>
                <w:p>
                  <w:pPr>
                    <w:pStyle w:val="null3"/>
                    <w:jc w:val="left"/>
                  </w:pPr>
                  <w:r>
                    <w:rPr>
                      <w:rFonts w:ascii="仿宋_GB2312" w:hAnsi="仿宋_GB2312" w:cs="仿宋_GB2312" w:eastAsia="仿宋_GB2312"/>
                      <w:sz w:val="24"/>
                      <w:color w:val="0000FF"/>
                    </w:rPr>
                    <w:t>4.符合《胶粘剂中有害物质限量》</w:t>
                  </w:r>
                  <w:r>
                    <w:rPr>
                      <w:rFonts w:ascii="仿宋_GB2312" w:hAnsi="仿宋_GB2312" w:cs="仿宋_GB2312" w:eastAsia="仿宋_GB2312"/>
                      <w:sz w:val="24"/>
                      <w:color w:val="0000FF"/>
                    </w:rPr>
                    <w:t>GB</w:t>
                  </w:r>
                  <w:r>
                    <w:rPr>
                      <w:rFonts w:ascii="仿宋_GB2312" w:hAnsi="仿宋_GB2312" w:cs="仿宋_GB2312" w:eastAsia="仿宋_GB2312"/>
                      <w:sz w:val="24"/>
                      <w:color w:val="0000FF"/>
                    </w:rPr>
                    <w:t xml:space="preserve"> </w:t>
                  </w:r>
                  <w:r>
                    <w:rPr>
                      <w:rFonts w:ascii="仿宋_GB2312" w:hAnsi="仿宋_GB2312" w:cs="仿宋_GB2312" w:eastAsia="仿宋_GB2312"/>
                      <w:sz w:val="24"/>
                      <w:color w:val="0000FF"/>
                    </w:rPr>
                    <w:t>18583-2008</w:t>
                  </w:r>
                  <w:r>
                    <w:rPr>
                      <w:rFonts w:ascii="仿宋_GB2312" w:hAnsi="仿宋_GB2312" w:cs="仿宋_GB2312" w:eastAsia="仿宋_GB2312"/>
                      <w:sz w:val="24"/>
                      <w:color w:val="0000FF"/>
                    </w:rPr>
                    <w:t>；</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5</w:t>
                  </w:r>
                </w:p>
              </w:tc>
              <w:tc>
                <w:tcPr>
                  <w:tcW w:type="dxa" w:w="275"/>
                  <w:vMerge/>
                  <w:tcBorders>
                    <w:top w:val="none" w:color="000000" w:sz="4"/>
                    <w:left w:val="single" w:color="000000" w:sz="4"/>
                    <w:bottom w:val="single" w:color="000000" w:sz="4"/>
                    <w:right w:val="single" w:color="000000" w:sz="4"/>
                  </w:tcBorders>
                </w:tcP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结构胶</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1.单位产品总挥发性有机物（TVOC）含量≤80g/kg</w:t>
                  </w:r>
                </w:p>
                <w:p>
                  <w:pPr>
                    <w:pStyle w:val="null3"/>
                    <w:jc w:val="left"/>
                  </w:pPr>
                  <w:r>
                    <w:rPr>
                      <w:rFonts w:ascii="仿宋_GB2312" w:hAnsi="仿宋_GB2312" w:cs="仿宋_GB2312" w:eastAsia="仿宋_GB2312"/>
                      <w:sz w:val="24"/>
                      <w:color w:val="0000FF"/>
                    </w:rPr>
                    <w:t>2.烷烃增塑剂（红外光谱）不得检出</w:t>
                  </w:r>
                </w:p>
                <w:p>
                  <w:pPr>
                    <w:pStyle w:val="null3"/>
                    <w:jc w:val="left"/>
                  </w:pPr>
                  <w:r>
                    <w:rPr>
                      <w:rFonts w:ascii="仿宋_GB2312" w:hAnsi="仿宋_GB2312" w:cs="仿宋_GB2312" w:eastAsia="仿宋_GB2312"/>
                      <w:sz w:val="24"/>
                      <w:color w:val="0000FF"/>
                    </w:rPr>
                    <w:t>3.23℃拉伸粘结强度标准值≥0.6MPa</w:t>
                  </w:r>
                </w:p>
                <w:p>
                  <w:pPr>
                    <w:pStyle w:val="null3"/>
                    <w:jc w:val="left"/>
                  </w:pPr>
                  <w:r>
                    <w:rPr>
                      <w:rFonts w:ascii="仿宋_GB2312" w:hAnsi="仿宋_GB2312" w:cs="仿宋_GB2312" w:eastAsia="仿宋_GB2312"/>
                      <w:sz w:val="24"/>
                      <w:color w:val="0000FF"/>
                    </w:rPr>
                    <w:t>4.粘结破坏面积≤5%</w:t>
                  </w:r>
                </w:p>
                <w:p>
                  <w:pPr>
                    <w:pStyle w:val="null3"/>
                    <w:jc w:val="left"/>
                  </w:pPr>
                  <w:r>
                    <w:rPr>
                      <w:rFonts w:ascii="仿宋_GB2312" w:hAnsi="仿宋_GB2312" w:cs="仿宋_GB2312" w:eastAsia="仿宋_GB2312"/>
                      <w:sz w:val="24"/>
                      <w:color w:val="0000FF"/>
                    </w:rPr>
                    <w:t>4.符合《胶粘剂中有害物质限量》</w:t>
                  </w:r>
                  <w:r>
                    <w:rPr>
                      <w:rFonts w:ascii="仿宋_GB2312" w:hAnsi="仿宋_GB2312" w:cs="仿宋_GB2312" w:eastAsia="仿宋_GB2312"/>
                      <w:sz w:val="24"/>
                      <w:color w:val="0000FF"/>
                    </w:rPr>
                    <w:t>GB</w:t>
                  </w:r>
                  <w:r>
                    <w:rPr>
                      <w:rFonts w:ascii="仿宋_GB2312" w:hAnsi="仿宋_GB2312" w:cs="仿宋_GB2312" w:eastAsia="仿宋_GB2312"/>
                      <w:sz w:val="24"/>
                      <w:color w:val="0000FF"/>
                    </w:rPr>
                    <w:t xml:space="preserve"> </w:t>
                  </w:r>
                  <w:r>
                    <w:rPr>
                      <w:rFonts w:ascii="仿宋_GB2312" w:hAnsi="仿宋_GB2312" w:cs="仿宋_GB2312" w:eastAsia="仿宋_GB2312"/>
                      <w:sz w:val="24"/>
                      <w:color w:val="0000FF"/>
                    </w:rPr>
                    <w:t>18583-2008</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6</w:t>
                  </w:r>
                </w:p>
              </w:tc>
              <w:tc>
                <w:tcPr>
                  <w:tcW w:type="dxa" w:w="275"/>
                  <w:vMerge/>
                  <w:tcBorders>
                    <w:top w:val="none" w:color="000000" w:sz="4"/>
                    <w:left w:val="single" w:color="000000" w:sz="4"/>
                    <w:bottom w:val="single" w:color="000000" w:sz="4"/>
                    <w:right w:val="single" w:color="000000" w:sz="4"/>
                  </w:tcBorders>
                </w:tcP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墙地瓷砖</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通过</w:t>
                  </w:r>
                  <w:r>
                    <w:rPr>
                      <w:rFonts w:ascii="仿宋_GB2312" w:hAnsi="仿宋_GB2312" w:cs="仿宋_GB2312" w:eastAsia="仿宋_GB2312"/>
                      <w:sz w:val="24"/>
                      <w:color w:val="0000FF"/>
                    </w:rPr>
                    <w:t>3C认证，执行标准GB/T4100-2015附录G，干压陶瓷E≤0.5%BIa类M，吸水率≤0.5%，摩擦系数≥0.5，符合GB6566-2010建筑材料放射性核素限量中放射性水平A类。</w:t>
                  </w:r>
                  <w:r>
                    <w:rPr>
                      <w:rFonts w:ascii="仿宋_GB2312" w:hAnsi="仿宋_GB2312" w:cs="仿宋_GB2312" w:eastAsia="仿宋_GB2312"/>
                      <w:sz w:val="24"/>
                      <w:color w:val="0000FF"/>
                    </w:rPr>
                    <w:t>产品内照射指数</w:t>
                  </w:r>
                  <w:r>
                    <w:rPr>
                      <w:rFonts w:ascii="仿宋_GB2312" w:hAnsi="仿宋_GB2312" w:cs="仿宋_GB2312" w:eastAsia="仿宋_GB2312"/>
                      <w:sz w:val="24"/>
                      <w:color w:val="0000FF"/>
                    </w:rPr>
                    <w:t>IRa≤0.9</w:t>
                  </w:r>
                  <w:r>
                    <w:rPr>
                      <w:rFonts w:ascii="仿宋_GB2312" w:hAnsi="仿宋_GB2312" w:cs="仿宋_GB2312" w:eastAsia="仿宋_GB2312"/>
                      <w:sz w:val="24"/>
                      <w:color w:val="0000FF"/>
                    </w:rPr>
                    <w:t>，</w:t>
                  </w:r>
                  <w:r>
                    <w:rPr>
                      <w:rFonts w:ascii="仿宋_GB2312" w:hAnsi="仿宋_GB2312" w:cs="仿宋_GB2312" w:eastAsia="仿宋_GB2312"/>
                      <w:sz w:val="24"/>
                      <w:color w:val="0000FF"/>
                    </w:rPr>
                    <w:t>外照射指数</w:t>
                  </w:r>
                  <w:r>
                    <w:rPr>
                      <w:rFonts w:ascii="仿宋_GB2312" w:hAnsi="仿宋_GB2312" w:cs="仿宋_GB2312" w:eastAsia="仿宋_GB2312"/>
                      <w:sz w:val="24"/>
                      <w:color w:val="0000FF"/>
                    </w:rPr>
                    <w:t>Ir≤1.2</w:t>
                  </w:r>
                  <w:r>
                    <w:rPr>
                      <w:rFonts w:ascii="仿宋_GB2312" w:hAnsi="仿宋_GB2312" w:cs="仿宋_GB2312" w:eastAsia="仿宋_GB2312"/>
                      <w:sz w:val="24"/>
                      <w:color w:val="0000FF"/>
                    </w:rPr>
                    <w:t>，</w:t>
                  </w:r>
                  <w:r>
                    <w:rPr>
                      <w:rFonts w:ascii="仿宋_GB2312" w:hAnsi="仿宋_GB2312" w:cs="仿宋_GB2312" w:eastAsia="仿宋_GB2312"/>
                      <w:sz w:val="24"/>
                      <w:color w:val="0000FF"/>
                    </w:rPr>
                    <w:t>耐污染性</w:t>
                  </w:r>
                  <w:r>
                    <w:rPr>
                      <w:rFonts w:ascii="仿宋_GB2312" w:hAnsi="仿宋_GB2312" w:cs="仿宋_GB2312" w:eastAsia="仿宋_GB2312"/>
                      <w:sz w:val="24"/>
                      <w:color w:val="0000FF"/>
                    </w:rPr>
                    <w:t>≥3 级</w:t>
                  </w:r>
                  <w:r>
                    <w:rPr>
                      <w:rFonts w:ascii="仿宋_GB2312" w:hAnsi="仿宋_GB2312" w:cs="仿宋_GB2312" w:eastAsia="仿宋_GB2312"/>
                      <w:sz w:val="24"/>
                      <w:color w:val="0000FF"/>
                    </w:rPr>
                    <w:t>，</w:t>
                  </w:r>
                  <w:r>
                    <w:rPr>
                      <w:rFonts w:ascii="仿宋_GB2312" w:hAnsi="仿宋_GB2312" w:cs="仿宋_GB2312" w:eastAsia="仿宋_GB2312"/>
                      <w:sz w:val="24"/>
                      <w:color w:val="0000FF"/>
                    </w:rPr>
                    <w:t>节能环保产品，符合本项目工程量清单、施工图纸相关要求，符合</w:t>
                  </w:r>
                  <w:r>
                    <w:rPr>
                      <w:rFonts w:ascii="仿宋_GB2312" w:hAnsi="仿宋_GB2312" w:cs="仿宋_GB2312" w:eastAsia="仿宋_GB2312"/>
                      <w:sz w:val="24"/>
                      <w:color w:val="0000FF"/>
                    </w:rPr>
                    <w:t>国家相关标准、规范</w:t>
                  </w:r>
                  <w:r>
                    <w:rPr>
                      <w:rFonts w:ascii="仿宋_GB2312" w:hAnsi="仿宋_GB2312" w:cs="仿宋_GB2312" w:eastAsia="仿宋_GB2312"/>
                      <w:sz w:val="24"/>
                      <w:color w:val="0000FF"/>
                    </w:rPr>
                    <w:t>；</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7</w:t>
                  </w:r>
                </w:p>
              </w:tc>
              <w:tc>
                <w:tcPr>
                  <w:tcW w:type="dxa" w:w="2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电气</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电线</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采用低烟低毒阻燃型线缆、矿物绝缘类不燃性电缆等，且导体材料采用铜芯</w:t>
                  </w:r>
                  <w:r>
                    <w:rPr>
                      <w:rFonts w:ascii="仿宋_GB2312" w:hAnsi="仿宋_GB2312" w:cs="仿宋_GB2312" w:eastAsia="仿宋_GB2312"/>
                      <w:sz w:val="24"/>
                      <w:color w:val="0000FF"/>
                    </w:rPr>
                    <w:t>,</w:t>
                  </w:r>
                  <w:r>
                    <w:rPr>
                      <w:rFonts w:ascii="仿宋_GB2312" w:hAnsi="仿宋_GB2312" w:cs="仿宋_GB2312" w:eastAsia="仿宋_GB2312"/>
                      <w:sz w:val="24"/>
                      <w:color w:val="0000FF"/>
                    </w:rPr>
                    <w:t>符合本项目工程量清单相关要求，符合</w:t>
                  </w:r>
                  <w:r>
                    <w:rPr>
                      <w:rFonts w:ascii="仿宋_GB2312" w:hAnsi="仿宋_GB2312" w:cs="仿宋_GB2312" w:eastAsia="仿宋_GB2312"/>
                      <w:sz w:val="24"/>
                      <w:color w:val="0000FF"/>
                    </w:rPr>
                    <w:t>国家相关标准、规范</w:t>
                  </w:r>
                  <w:r>
                    <w:rPr>
                      <w:rFonts w:ascii="仿宋_GB2312" w:hAnsi="仿宋_GB2312" w:cs="仿宋_GB2312" w:eastAsia="仿宋_GB2312"/>
                      <w:sz w:val="24"/>
                      <w:color w:val="0000FF"/>
                    </w:rPr>
                    <w:t>；</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8</w:t>
                  </w:r>
                </w:p>
              </w:tc>
              <w:tc>
                <w:tcPr>
                  <w:tcW w:type="dxa" w:w="275"/>
                  <w:vMerge/>
                  <w:tcBorders>
                    <w:top w:val="none" w:color="000000" w:sz="4"/>
                    <w:left w:val="single" w:color="000000" w:sz="4"/>
                    <w:bottom w:val="single" w:color="000000" w:sz="4"/>
                    <w:right w:val="single" w:color="000000" w:sz="4"/>
                  </w:tcBorders>
                </w:tcP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线管</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节能环保产品，符合本项目工程量清单相关要求，符合</w:t>
                  </w:r>
                  <w:r>
                    <w:rPr>
                      <w:rFonts w:ascii="仿宋_GB2312" w:hAnsi="仿宋_GB2312" w:cs="仿宋_GB2312" w:eastAsia="仿宋_GB2312"/>
                      <w:sz w:val="24"/>
                      <w:color w:val="0000FF"/>
                    </w:rPr>
                    <w:t>国家相关标准、规范</w:t>
                  </w:r>
                  <w:r>
                    <w:rPr>
                      <w:rFonts w:ascii="仿宋_GB2312" w:hAnsi="仿宋_GB2312" w:cs="仿宋_GB2312" w:eastAsia="仿宋_GB2312"/>
                      <w:sz w:val="24"/>
                      <w:color w:val="0000FF"/>
                    </w:rPr>
                    <w:t>；</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9</w:t>
                  </w:r>
                </w:p>
              </w:tc>
              <w:tc>
                <w:tcPr>
                  <w:tcW w:type="dxa" w:w="275"/>
                  <w:vMerge/>
                  <w:tcBorders>
                    <w:top w:val="none" w:color="000000" w:sz="4"/>
                    <w:left w:val="single" w:color="000000" w:sz="4"/>
                    <w:bottom w:val="single" w:color="000000" w:sz="4"/>
                    <w:right w:val="single" w:color="000000" w:sz="4"/>
                  </w:tcBorders>
                </w:tcP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开关</w:t>
                  </w:r>
                  <w:r>
                    <w:rPr>
                      <w:rFonts w:ascii="仿宋_GB2312" w:hAnsi="仿宋_GB2312" w:cs="仿宋_GB2312" w:eastAsia="仿宋_GB2312"/>
                      <w:sz w:val="24"/>
                      <w:color w:val="0000FF"/>
                    </w:rPr>
                    <w:t>/插座</w:t>
                  </w:r>
                  <w:r>
                    <w:rPr>
                      <w:rFonts w:ascii="仿宋_GB2312" w:hAnsi="仿宋_GB2312" w:cs="仿宋_GB2312" w:eastAsia="仿宋_GB2312"/>
                      <w:sz w:val="24"/>
                      <w:color w:val="0000FF"/>
                    </w:rPr>
                    <w:t>面板</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220V，64A/32A/16A/10A等，</w:t>
                  </w:r>
                  <w:r>
                    <w:rPr>
                      <w:rFonts w:ascii="仿宋_GB2312" w:hAnsi="仿宋_GB2312" w:cs="仿宋_GB2312" w:eastAsia="仿宋_GB2312"/>
                      <w:sz w:val="24"/>
                      <w:color w:val="0000FF"/>
                    </w:rPr>
                    <w:t>节能环保产品，符合本项目工程量清单相关要求，符合</w:t>
                  </w:r>
                  <w:r>
                    <w:rPr>
                      <w:rFonts w:ascii="仿宋_GB2312" w:hAnsi="仿宋_GB2312" w:cs="仿宋_GB2312" w:eastAsia="仿宋_GB2312"/>
                      <w:sz w:val="24"/>
                      <w:color w:val="0000FF"/>
                    </w:rPr>
                    <w:t>国家相关标准、规范</w:t>
                  </w:r>
                  <w:r>
                    <w:rPr>
                      <w:rFonts w:ascii="仿宋_GB2312" w:hAnsi="仿宋_GB2312" w:cs="仿宋_GB2312" w:eastAsia="仿宋_GB2312"/>
                      <w:sz w:val="24"/>
                      <w:color w:val="0000FF"/>
                    </w:rPr>
                    <w:t>；</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10</w:t>
                  </w:r>
                </w:p>
              </w:tc>
              <w:tc>
                <w:tcPr>
                  <w:tcW w:type="dxa" w:w="275"/>
                  <w:vMerge/>
                  <w:tcBorders>
                    <w:top w:val="none" w:color="000000" w:sz="4"/>
                    <w:left w:val="single" w:color="000000" w:sz="4"/>
                    <w:bottom w:val="single" w:color="000000" w:sz="4"/>
                    <w:right w:val="single" w:color="000000" w:sz="4"/>
                  </w:tcBorders>
                </w:tcP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空气开关</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16/32A等，带漏电保护。节能环保产品，符合本项目工程量清单相关要求，符合</w:t>
                  </w:r>
                  <w:r>
                    <w:rPr>
                      <w:rFonts w:ascii="仿宋_GB2312" w:hAnsi="仿宋_GB2312" w:cs="仿宋_GB2312" w:eastAsia="仿宋_GB2312"/>
                      <w:sz w:val="24"/>
                      <w:color w:val="0000FF"/>
                    </w:rPr>
                    <w:t>国家相关标准、规范</w:t>
                  </w:r>
                  <w:r>
                    <w:rPr>
                      <w:rFonts w:ascii="仿宋_GB2312" w:hAnsi="仿宋_GB2312" w:cs="仿宋_GB2312" w:eastAsia="仿宋_GB2312"/>
                      <w:sz w:val="24"/>
                      <w:color w:val="0000FF"/>
                    </w:rPr>
                    <w:t>；</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11</w:t>
                  </w:r>
                </w:p>
              </w:tc>
              <w:tc>
                <w:tcPr>
                  <w:tcW w:type="dxa" w:w="275"/>
                  <w:vMerge/>
                  <w:tcBorders>
                    <w:top w:val="none" w:color="000000" w:sz="4"/>
                    <w:left w:val="single" w:color="000000" w:sz="4"/>
                    <w:bottom w:val="single" w:color="000000" w:sz="4"/>
                    <w:right w:val="single" w:color="000000" w:sz="4"/>
                  </w:tcBorders>
                </w:tcP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照明灯具</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参数详见设计图纸、工程量清单，符合本项目工程量清单相关要求，符合</w:t>
                  </w:r>
                  <w:r>
                    <w:rPr>
                      <w:rFonts w:ascii="仿宋_GB2312" w:hAnsi="仿宋_GB2312" w:cs="仿宋_GB2312" w:eastAsia="仿宋_GB2312"/>
                      <w:sz w:val="24"/>
                      <w:color w:val="0000FF"/>
                    </w:rPr>
                    <w:t>国家相关标准、规范</w:t>
                  </w:r>
                  <w:r>
                    <w:rPr>
                      <w:rFonts w:ascii="仿宋_GB2312" w:hAnsi="仿宋_GB2312" w:cs="仿宋_GB2312" w:eastAsia="仿宋_GB2312"/>
                      <w:sz w:val="24"/>
                      <w:color w:val="0000FF"/>
                    </w:rPr>
                    <w:t>；</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12</w:t>
                  </w:r>
                </w:p>
              </w:tc>
              <w:tc>
                <w:tcPr>
                  <w:tcW w:type="dxa" w:w="275"/>
                  <w:vMerge/>
                  <w:tcBorders>
                    <w:top w:val="none" w:color="000000" w:sz="4"/>
                    <w:left w:val="single" w:color="000000" w:sz="4"/>
                    <w:bottom w:val="single" w:color="000000" w:sz="4"/>
                    <w:right w:val="single" w:color="000000" w:sz="4"/>
                  </w:tcBorders>
                </w:tcP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网络面板</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符合本项目工程量清单相关要求，符合</w:t>
                  </w:r>
                  <w:r>
                    <w:rPr>
                      <w:rFonts w:ascii="仿宋_GB2312" w:hAnsi="仿宋_GB2312" w:cs="仿宋_GB2312" w:eastAsia="仿宋_GB2312"/>
                      <w:sz w:val="24"/>
                      <w:color w:val="0000FF"/>
                    </w:rPr>
                    <w:t>国家相关标准、规范</w:t>
                  </w:r>
                  <w:r>
                    <w:rPr>
                      <w:rFonts w:ascii="仿宋_GB2312" w:hAnsi="仿宋_GB2312" w:cs="仿宋_GB2312" w:eastAsia="仿宋_GB2312"/>
                      <w:sz w:val="24"/>
                      <w:color w:val="0000FF"/>
                    </w:rPr>
                    <w:t>；</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13</w:t>
                  </w:r>
                </w:p>
              </w:tc>
              <w:tc>
                <w:tcPr>
                  <w:tcW w:type="dxa" w:w="275"/>
                  <w:vMerge/>
                  <w:tcBorders>
                    <w:top w:val="none" w:color="000000" w:sz="4"/>
                    <w:left w:val="single" w:color="000000" w:sz="4"/>
                    <w:bottom w:val="single" w:color="000000" w:sz="4"/>
                    <w:right w:val="single" w:color="000000" w:sz="4"/>
                  </w:tcBorders>
                </w:tcP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交换机</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8路千兆交换机，具备控制管理功能，</w:t>
                  </w:r>
                  <w:r>
                    <w:rPr>
                      <w:rFonts w:ascii="仿宋_GB2312" w:hAnsi="仿宋_GB2312" w:cs="仿宋_GB2312" w:eastAsia="仿宋_GB2312"/>
                      <w:sz w:val="24"/>
                      <w:color w:val="0000FF"/>
                    </w:rPr>
                    <w:t>符合本项目工程量清单相关要求，符合</w:t>
                  </w:r>
                  <w:r>
                    <w:rPr>
                      <w:rFonts w:ascii="仿宋_GB2312" w:hAnsi="仿宋_GB2312" w:cs="仿宋_GB2312" w:eastAsia="仿宋_GB2312"/>
                      <w:sz w:val="24"/>
                      <w:color w:val="0000FF"/>
                    </w:rPr>
                    <w:t>国家相关标准、规范</w:t>
                  </w:r>
                  <w:r>
                    <w:rPr>
                      <w:rFonts w:ascii="仿宋_GB2312" w:hAnsi="仿宋_GB2312" w:cs="仿宋_GB2312" w:eastAsia="仿宋_GB2312"/>
                      <w:sz w:val="24"/>
                      <w:color w:val="0000FF"/>
                    </w:rPr>
                    <w:t>；</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14</w:t>
                  </w:r>
                </w:p>
              </w:tc>
              <w:tc>
                <w:tcPr>
                  <w:tcW w:type="dxa" w:w="275"/>
                  <w:vMerge/>
                  <w:tcBorders>
                    <w:top w:val="none" w:color="000000" w:sz="4"/>
                    <w:left w:val="single" w:color="000000" w:sz="4"/>
                    <w:bottom w:val="single" w:color="000000" w:sz="4"/>
                    <w:right w:val="single" w:color="000000" w:sz="4"/>
                  </w:tcBorders>
                </w:tcP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网线</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超五类网线，</w:t>
                  </w:r>
                  <w:r>
                    <w:rPr>
                      <w:rFonts w:ascii="仿宋_GB2312" w:hAnsi="仿宋_GB2312" w:cs="仿宋_GB2312" w:eastAsia="仿宋_GB2312"/>
                      <w:sz w:val="24"/>
                      <w:color w:val="0000FF"/>
                    </w:rPr>
                    <w:t>符合本项目工程量清单相关要求，符合</w:t>
                  </w:r>
                  <w:r>
                    <w:rPr>
                      <w:rFonts w:ascii="仿宋_GB2312" w:hAnsi="仿宋_GB2312" w:cs="仿宋_GB2312" w:eastAsia="仿宋_GB2312"/>
                      <w:sz w:val="24"/>
                      <w:color w:val="0000FF"/>
                    </w:rPr>
                    <w:t>国家相关标准、规范。</w:t>
                  </w:r>
                  <w:r>
                    <w:rPr>
                      <w:rFonts w:ascii="仿宋_GB2312" w:hAnsi="仿宋_GB2312" w:cs="仿宋_GB2312" w:eastAsia="仿宋_GB2312"/>
                      <w:sz w:val="24"/>
                      <w:color w:val="0000FF"/>
                    </w:rPr>
                    <w:t>需现场通过校方百米传输测试</w:t>
                  </w:r>
                  <w:r>
                    <w:rPr>
                      <w:rFonts w:ascii="仿宋_GB2312" w:hAnsi="仿宋_GB2312" w:cs="仿宋_GB2312" w:eastAsia="仿宋_GB2312"/>
                      <w:sz w:val="24"/>
                      <w:color w:val="0000FF"/>
                    </w:rPr>
                    <w:t>；</w:t>
                  </w:r>
                </w:p>
              </w:tc>
            </w:tr>
          </w:tbl>
          <w:p>
            <w:pPr>
              <w:pStyle w:val="null3"/>
              <w:ind w:firstLine="482"/>
              <w:jc w:val="both"/>
            </w:pPr>
            <w:r>
              <w:rPr>
                <w:rFonts w:ascii="仿宋_GB2312" w:hAnsi="仿宋_GB2312" w:cs="仿宋_GB2312" w:eastAsia="仿宋_GB2312"/>
                <w:sz w:val="24"/>
                <w:b/>
                <w:color w:val="0000FF"/>
              </w:rPr>
              <w:t>说明：</w:t>
            </w:r>
            <w:r>
              <w:rPr>
                <w:rFonts w:ascii="仿宋_GB2312" w:hAnsi="仿宋_GB2312" w:cs="仿宋_GB2312" w:eastAsia="仿宋_GB2312"/>
                <w:sz w:val="24"/>
                <w:b/>
                <w:color w:val="0000FF"/>
              </w:rPr>
              <w:t>供应商拟投主要材料应满足上述技术参数要求，</w:t>
            </w:r>
            <w:r>
              <w:rPr>
                <w:rFonts w:ascii="仿宋_GB2312" w:hAnsi="仿宋_GB2312" w:cs="仿宋_GB2312" w:eastAsia="仿宋_GB2312"/>
                <w:sz w:val="24"/>
                <w:b/>
                <w:color w:val="0000FF"/>
              </w:rPr>
              <w:t>在施工过程中成交供应商若提出性能、质量、实力等同于或高于投标时的选定的产品或厂家时，必须经采购人书面同意，但由此增加的费用由供应商自行承担。</w:t>
            </w:r>
          </w:p>
          <w:p>
            <w:pPr>
              <w:pStyle w:val="null3"/>
              <w:ind w:firstLine="482"/>
              <w:jc w:val="both"/>
            </w:pPr>
            <w:r>
              <w:rPr>
                <w:rFonts w:ascii="仿宋_GB2312" w:hAnsi="仿宋_GB2312" w:cs="仿宋_GB2312" w:eastAsia="仿宋_GB2312"/>
                <w:sz w:val="24"/>
                <w:b/>
                <w:color w:val="0000FF"/>
              </w:rPr>
              <w:t>六</w:t>
            </w:r>
            <w:r>
              <w:rPr>
                <w:rFonts w:ascii="仿宋_GB2312" w:hAnsi="仿宋_GB2312" w:cs="仿宋_GB2312" w:eastAsia="仿宋_GB2312"/>
                <w:sz w:val="24"/>
                <w:b/>
                <w:color w:val="0000FF"/>
              </w:rPr>
              <w:t>、</w:t>
            </w:r>
            <w:r>
              <w:rPr>
                <w:rFonts w:ascii="仿宋_GB2312" w:hAnsi="仿宋_GB2312" w:cs="仿宋_GB2312" w:eastAsia="仿宋_GB2312"/>
                <w:sz w:val="24"/>
                <w:b/>
                <w:color w:val="0000FF"/>
              </w:rPr>
              <w:t>商务要求</w:t>
            </w:r>
          </w:p>
          <w:p>
            <w:pPr>
              <w:pStyle w:val="null3"/>
              <w:ind w:firstLine="482"/>
              <w:jc w:val="both"/>
            </w:pPr>
            <w:r>
              <w:rPr>
                <w:rFonts w:ascii="仿宋_GB2312" w:hAnsi="仿宋_GB2312" w:cs="仿宋_GB2312" w:eastAsia="仿宋_GB2312"/>
                <w:sz w:val="24"/>
                <w:b/>
                <w:color w:val="0000FF"/>
              </w:rPr>
              <w:t>（一）工期：</w:t>
            </w:r>
            <w:r>
              <w:rPr>
                <w:rFonts w:ascii="仿宋_GB2312" w:hAnsi="仿宋_GB2312" w:cs="仿宋_GB2312" w:eastAsia="仿宋_GB2312"/>
                <w:sz w:val="24"/>
                <w:color w:val="0000FF"/>
              </w:rPr>
              <w:t>自接到采购人开工通知之日起</w:t>
            </w:r>
            <w:r>
              <w:rPr>
                <w:rFonts w:ascii="仿宋_GB2312" w:hAnsi="仿宋_GB2312" w:cs="仿宋_GB2312" w:eastAsia="仿宋_GB2312"/>
                <w:sz w:val="24"/>
                <w:color w:val="0000FF"/>
              </w:rPr>
              <w:t>50</w:t>
            </w:r>
            <w:r>
              <w:rPr>
                <w:rFonts w:ascii="仿宋_GB2312" w:hAnsi="仿宋_GB2312" w:cs="仿宋_GB2312" w:eastAsia="仿宋_GB2312"/>
                <w:sz w:val="24"/>
                <w:color w:val="0000FF"/>
              </w:rPr>
              <w:t>个日历天</w:t>
            </w:r>
            <w:r>
              <w:rPr>
                <w:rFonts w:ascii="仿宋_GB2312" w:hAnsi="仿宋_GB2312" w:cs="仿宋_GB2312" w:eastAsia="仿宋_GB2312"/>
                <w:sz w:val="24"/>
                <w:color w:val="0000FF"/>
              </w:rPr>
              <w:t>，具体以项目实际需求及使用单位要求为准</w:t>
            </w:r>
            <w:r>
              <w:rPr>
                <w:rFonts w:ascii="仿宋_GB2312" w:hAnsi="仿宋_GB2312" w:cs="仿宋_GB2312" w:eastAsia="仿宋_GB2312"/>
                <w:sz w:val="24"/>
                <w:color w:val="0000FF"/>
              </w:rPr>
              <w:t>。</w:t>
            </w:r>
          </w:p>
          <w:p>
            <w:pPr>
              <w:pStyle w:val="null3"/>
              <w:ind w:firstLine="482"/>
              <w:jc w:val="both"/>
            </w:pPr>
            <w:r>
              <w:rPr>
                <w:rFonts w:ascii="仿宋_GB2312" w:hAnsi="仿宋_GB2312" w:cs="仿宋_GB2312" w:eastAsia="仿宋_GB2312"/>
                <w:sz w:val="24"/>
                <w:b/>
                <w:color w:val="0000FF"/>
              </w:rPr>
              <w:t>（二）工程地点</w:t>
            </w:r>
            <w:r>
              <w:rPr>
                <w:rFonts w:ascii="仿宋_GB2312" w:hAnsi="仿宋_GB2312" w:cs="仿宋_GB2312" w:eastAsia="仿宋_GB2312"/>
                <w:sz w:val="24"/>
                <w:color w:val="0000FF"/>
              </w:rPr>
              <w:t>：</w:t>
            </w:r>
            <w:r>
              <w:rPr>
                <w:rFonts w:ascii="仿宋_GB2312" w:hAnsi="仿宋_GB2312" w:cs="仿宋_GB2312" w:eastAsia="仿宋_GB2312"/>
                <w:sz w:val="24"/>
                <w:color w:val="0000FF"/>
              </w:rPr>
              <w:t>西安建筑科技大学</w:t>
            </w:r>
            <w:r>
              <w:rPr>
                <w:rFonts w:ascii="仿宋_GB2312" w:hAnsi="仿宋_GB2312" w:cs="仿宋_GB2312" w:eastAsia="仿宋_GB2312"/>
                <w:sz w:val="24"/>
                <w:color w:val="0000FF"/>
              </w:rPr>
              <w:t>雁塔校区北院</w:t>
            </w:r>
            <w:r>
              <w:rPr>
                <w:rFonts w:ascii="仿宋_GB2312" w:hAnsi="仿宋_GB2312" w:cs="仿宋_GB2312" w:eastAsia="仿宋_GB2312"/>
                <w:sz w:val="24"/>
                <w:color w:val="0000FF"/>
              </w:rPr>
              <w:t>6#公寓</w:t>
            </w:r>
            <w:r>
              <w:rPr>
                <w:rFonts w:ascii="仿宋_GB2312" w:hAnsi="仿宋_GB2312" w:cs="仿宋_GB2312" w:eastAsia="仿宋_GB2312"/>
                <w:sz w:val="24"/>
                <w:color w:val="0000FF"/>
              </w:rPr>
              <w:t>。</w:t>
            </w:r>
          </w:p>
          <w:p>
            <w:pPr>
              <w:pStyle w:val="null3"/>
              <w:ind w:firstLine="482"/>
              <w:jc w:val="both"/>
            </w:pPr>
            <w:r>
              <w:rPr>
                <w:rFonts w:ascii="仿宋_GB2312" w:hAnsi="仿宋_GB2312" w:cs="仿宋_GB2312" w:eastAsia="仿宋_GB2312"/>
                <w:sz w:val="24"/>
                <w:b/>
                <w:color w:val="0000FF"/>
              </w:rPr>
              <w:t>（三）质量要求</w:t>
            </w:r>
            <w:r>
              <w:rPr>
                <w:rFonts w:ascii="仿宋_GB2312" w:hAnsi="仿宋_GB2312" w:cs="仿宋_GB2312" w:eastAsia="仿宋_GB2312"/>
                <w:sz w:val="24"/>
                <w:color w:val="0000FF"/>
              </w:rPr>
              <w:t>：质量标准执行国家、陕西省、西安市现行工程质量</w:t>
            </w:r>
            <w:r>
              <w:rPr>
                <w:rFonts w:ascii="仿宋_GB2312" w:hAnsi="仿宋_GB2312" w:cs="仿宋_GB2312" w:eastAsia="仿宋_GB2312"/>
                <w:sz w:val="24"/>
                <w:color w:val="0000FF"/>
              </w:rPr>
              <w:t>验收</w:t>
            </w:r>
            <w:r>
              <w:rPr>
                <w:rFonts w:ascii="仿宋_GB2312" w:hAnsi="仿宋_GB2312" w:cs="仿宋_GB2312" w:eastAsia="仿宋_GB2312"/>
                <w:sz w:val="24"/>
                <w:color w:val="0000FF"/>
              </w:rPr>
              <w:t>标准，施工结束后提供具有</w:t>
            </w:r>
            <w:r>
              <w:rPr>
                <w:rFonts w:ascii="仿宋_GB2312" w:hAnsi="仿宋_GB2312" w:cs="仿宋_GB2312" w:eastAsia="仿宋_GB2312"/>
                <w:sz w:val="24"/>
                <w:color w:val="0000FF"/>
              </w:rPr>
              <w:t>CMA/CNAS资格的第三方检测机构空气质量检测报告。</w:t>
            </w:r>
          </w:p>
          <w:p>
            <w:pPr>
              <w:pStyle w:val="null3"/>
              <w:ind w:firstLine="482"/>
              <w:jc w:val="both"/>
            </w:pPr>
            <w:r>
              <w:rPr>
                <w:rFonts w:ascii="仿宋_GB2312" w:hAnsi="仿宋_GB2312" w:cs="仿宋_GB2312" w:eastAsia="仿宋_GB2312"/>
                <w:sz w:val="24"/>
                <w:b/>
                <w:color w:val="0000FF"/>
              </w:rPr>
              <w:t>（四）付款方式：</w:t>
            </w:r>
          </w:p>
          <w:p>
            <w:pPr>
              <w:pStyle w:val="null3"/>
              <w:ind w:firstLine="480"/>
              <w:jc w:val="both"/>
            </w:pPr>
            <w:r>
              <w:rPr>
                <w:rFonts w:ascii="仿宋_GB2312" w:hAnsi="仿宋_GB2312" w:cs="仿宋_GB2312" w:eastAsia="仿宋_GB2312"/>
                <w:sz w:val="24"/>
                <w:color w:val="0000FF"/>
              </w:rPr>
              <w:t>□签订合同完毕，</w:t>
            </w:r>
            <w:r>
              <w:rPr>
                <w:rFonts w:ascii="仿宋_GB2312" w:hAnsi="仿宋_GB2312" w:cs="仿宋_GB2312" w:eastAsia="仿宋_GB2312"/>
                <w:sz w:val="24"/>
                <w:color w:val="0000FF"/>
              </w:rPr>
              <w:t>成交</w:t>
            </w:r>
            <w:r>
              <w:rPr>
                <w:rFonts w:ascii="仿宋_GB2312" w:hAnsi="仿宋_GB2312" w:cs="仿宋_GB2312" w:eastAsia="仿宋_GB2312"/>
                <w:sz w:val="24"/>
                <w:color w:val="0000FF"/>
              </w:rPr>
              <w:t>供应商提供由工商银行、农业银行、中国银行、建设银行、交通银行其中一家出具的不可撤销、见索即付独立保函，且保函文本须载明</w:t>
            </w:r>
            <w:r>
              <w:rPr>
                <w:rFonts w:ascii="仿宋_GB2312" w:hAnsi="仿宋_GB2312" w:cs="仿宋_GB2312" w:eastAsia="仿宋_GB2312"/>
                <w:sz w:val="24"/>
                <w:color w:val="0000FF"/>
              </w:rPr>
              <w:t>“开证行仅凭受益人单方签署的索赔声明付款”，甲方支付合同总价的40%作为预付款，否则，</w:t>
            </w:r>
            <w:r>
              <w:rPr>
                <w:rFonts w:ascii="仿宋_GB2312" w:hAnsi="仿宋_GB2312" w:cs="仿宋_GB2312" w:eastAsia="仿宋_GB2312"/>
                <w:sz w:val="24"/>
                <w:color w:val="0000FF"/>
              </w:rPr>
              <w:t>采购人</w:t>
            </w:r>
            <w:r>
              <w:rPr>
                <w:rFonts w:ascii="仿宋_GB2312" w:hAnsi="仿宋_GB2312" w:cs="仿宋_GB2312" w:eastAsia="仿宋_GB2312"/>
                <w:sz w:val="24"/>
                <w:color w:val="0000FF"/>
              </w:rPr>
              <w:t>不予支付预付款。</w:t>
            </w:r>
          </w:p>
          <w:p>
            <w:pPr>
              <w:pStyle w:val="null3"/>
              <w:ind w:firstLine="480"/>
              <w:jc w:val="both"/>
            </w:pPr>
            <w:r>
              <w:rPr>
                <w:rFonts w:ascii="仿宋_GB2312" w:hAnsi="仿宋_GB2312" w:cs="仿宋_GB2312" w:eastAsia="仿宋_GB2312"/>
                <w:sz w:val="24"/>
                <w:color w:val="0000FF"/>
              </w:rPr>
              <w:t>□签订合同完毕，</w:t>
            </w:r>
            <w:r>
              <w:rPr>
                <w:rFonts w:ascii="仿宋_GB2312" w:hAnsi="仿宋_GB2312" w:cs="仿宋_GB2312" w:eastAsia="仿宋_GB2312"/>
                <w:sz w:val="24"/>
                <w:color w:val="0000FF"/>
              </w:rPr>
              <w:t>成交</w:t>
            </w:r>
            <w:r>
              <w:rPr>
                <w:rFonts w:ascii="仿宋_GB2312" w:hAnsi="仿宋_GB2312" w:cs="仿宋_GB2312" w:eastAsia="仿宋_GB2312"/>
                <w:sz w:val="24"/>
                <w:color w:val="0000FF"/>
              </w:rPr>
              <w:t>供应商无法提供预付款保函，施工满一个月，且经核算完成</w:t>
            </w:r>
            <w:r>
              <w:rPr>
                <w:rFonts w:ascii="仿宋_GB2312" w:hAnsi="仿宋_GB2312" w:cs="仿宋_GB2312" w:eastAsia="仿宋_GB2312"/>
                <w:sz w:val="24"/>
                <w:color w:val="0000FF"/>
              </w:rPr>
              <w:t>80%改造工程内容后，支付合同额60%进度款。</w:t>
            </w:r>
          </w:p>
          <w:p>
            <w:pPr>
              <w:pStyle w:val="null3"/>
              <w:ind w:firstLine="480"/>
              <w:jc w:val="both"/>
            </w:pPr>
            <w:r>
              <w:rPr>
                <w:rFonts w:ascii="仿宋_GB2312" w:hAnsi="仿宋_GB2312" w:cs="仿宋_GB2312" w:eastAsia="仿宋_GB2312"/>
                <w:sz w:val="24"/>
                <w:color w:val="0000FF"/>
              </w:rPr>
              <w:t>工程竣工验收合格后经审计部门或其委托有工程造价咨询资质的机构审定结算后，缴纳施工水电费后，支付至审定结算价的</w:t>
            </w:r>
            <w:r>
              <w:rPr>
                <w:rFonts w:ascii="仿宋_GB2312" w:hAnsi="仿宋_GB2312" w:cs="仿宋_GB2312" w:eastAsia="仿宋_GB2312"/>
                <w:sz w:val="24"/>
                <w:color w:val="0000FF"/>
              </w:rPr>
              <w:t>100%；但在国家规定的保修期限内，保修责任仍由</w:t>
            </w:r>
            <w:r>
              <w:rPr>
                <w:rFonts w:ascii="仿宋_GB2312" w:hAnsi="仿宋_GB2312" w:cs="仿宋_GB2312" w:eastAsia="仿宋_GB2312"/>
                <w:sz w:val="24"/>
                <w:color w:val="0000FF"/>
              </w:rPr>
              <w:t>成交供应商</w:t>
            </w:r>
            <w:r>
              <w:rPr>
                <w:rFonts w:ascii="仿宋_GB2312" w:hAnsi="仿宋_GB2312" w:cs="仿宋_GB2312" w:eastAsia="仿宋_GB2312"/>
                <w:sz w:val="24"/>
                <w:color w:val="0000FF"/>
              </w:rPr>
              <w:t>继续承担。</w:t>
            </w:r>
          </w:p>
          <w:p>
            <w:pPr>
              <w:pStyle w:val="null3"/>
              <w:ind w:firstLine="480"/>
              <w:jc w:val="both"/>
            </w:pPr>
            <w:r>
              <w:rPr>
                <w:rFonts w:ascii="仿宋_GB2312" w:hAnsi="仿宋_GB2312" w:cs="仿宋_GB2312" w:eastAsia="仿宋_GB2312"/>
                <w:sz w:val="24"/>
                <w:color w:val="0000FF"/>
              </w:rPr>
              <w:t>本工程的工程量据实结算，若</w:t>
            </w:r>
            <w:r>
              <w:rPr>
                <w:rFonts w:ascii="仿宋_GB2312" w:hAnsi="仿宋_GB2312" w:cs="仿宋_GB2312" w:eastAsia="仿宋_GB2312"/>
                <w:sz w:val="24"/>
                <w:color w:val="0000FF"/>
              </w:rPr>
              <w:t>成交供应商</w:t>
            </w:r>
            <w:r>
              <w:rPr>
                <w:rFonts w:ascii="仿宋_GB2312" w:hAnsi="仿宋_GB2312" w:cs="仿宋_GB2312" w:eastAsia="仿宋_GB2312"/>
                <w:sz w:val="24"/>
                <w:color w:val="0000FF"/>
              </w:rPr>
              <w:t>报送的原始结算价超出</w:t>
            </w:r>
            <w:r>
              <w:rPr>
                <w:rFonts w:ascii="仿宋_GB2312" w:hAnsi="仿宋_GB2312" w:cs="仿宋_GB2312" w:eastAsia="仿宋_GB2312"/>
                <w:sz w:val="24"/>
                <w:color w:val="0000FF"/>
              </w:rPr>
              <w:t>采购人</w:t>
            </w:r>
            <w:r>
              <w:rPr>
                <w:rFonts w:ascii="仿宋_GB2312" w:hAnsi="仿宋_GB2312" w:cs="仿宋_GB2312" w:eastAsia="仿宋_GB2312"/>
                <w:sz w:val="24"/>
                <w:color w:val="0000FF"/>
              </w:rPr>
              <w:t>审定结算价的</w:t>
            </w:r>
            <w:r>
              <w:rPr>
                <w:rFonts w:ascii="仿宋_GB2312" w:hAnsi="仿宋_GB2312" w:cs="仿宋_GB2312" w:eastAsia="仿宋_GB2312"/>
                <w:sz w:val="24"/>
                <w:color w:val="0000FF"/>
              </w:rPr>
              <w:t>3％，则</w:t>
            </w:r>
            <w:r>
              <w:rPr>
                <w:rFonts w:ascii="仿宋_GB2312" w:hAnsi="仿宋_GB2312" w:cs="仿宋_GB2312" w:eastAsia="仿宋_GB2312"/>
                <w:sz w:val="24"/>
                <w:color w:val="0000FF"/>
              </w:rPr>
              <w:t>成交供应商</w:t>
            </w:r>
            <w:r>
              <w:rPr>
                <w:rFonts w:ascii="仿宋_GB2312" w:hAnsi="仿宋_GB2312" w:cs="仿宋_GB2312" w:eastAsia="仿宋_GB2312"/>
                <w:sz w:val="24"/>
                <w:color w:val="0000FF"/>
              </w:rPr>
              <w:t>承担全部审计费，在结算付款时一次性扣除。</w:t>
            </w:r>
          </w:p>
          <w:p>
            <w:pPr>
              <w:pStyle w:val="null3"/>
              <w:ind w:firstLine="482"/>
              <w:jc w:val="both"/>
            </w:pPr>
            <w:r>
              <w:rPr>
                <w:rFonts w:ascii="仿宋_GB2312" w:hAnsi="仿宋_GB2312" w:cs="仿宋_GB2312" w:eastAsia="仿宋_GB2312"/>
                <w:sz w:val="24"/>
                <w:b/>
                <w:color w:val="0000FF"/>
              </w:rPr>
              <w:t>（五）质量保证期</w:t>
            </w:r>
            <w:r>
              <w:rPr>
                <w:rFonts w:ascii="仿宋_GB2312" w:hAnsi="仿宋_GB2312" w:cs="仿宋_GB2312" w:eastAsia="仿宋_GB2312"/>
                <w:sz w:val="24"/>
                <w:b/>
                <w:color w:val="0000FF"/>
              </w:rPr>
              <w:t>及保修要求</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w:t>
            </w:r>
            <w:r>
              <w:rPr>
                <w:rFonts w:ascii="仿宋_GB2312" w:hAnsi="仿宋_GB2312" w:cs="仿宋_GB2312" w:eastAsia="仿宋_GB2312"/>
                <w:sz w:val="24"/>
                <w:color w:val="0000FF"/>
              </w:rPr>
              <w:t>）</w:t>
            </w:r>
            <w:r>
              <w:rPr>
                <w:rFonts w:ascii="仿宋_GB2312" w:hAnsi="仿宋_GB2312" w:cs="仿宋_GB2312" w:eastAsia="仿宋_GB2312"/>
                <w:sz w:val="24"/>
                <w:color w:val="0000FF"/>
              </w:rPr>
              <w:t>质量保证期</w:t>
            </w:r>
            <w:r>
              <w:rPr>
                <w:rFonts w:ascii="仿宋_GB2312" w:hAnsi="仿宋_GB2312" w:cs="仿宋_GB2312" w:eastAsia="仿宋_GB2312"/>
                <w:sz w:val="24"/>
                <w:color w:val="0000FF"/>
              </w:rPr>
              <w:t>：</w:t>
            </w:r>
            <w:r>
              <w:rPr>
                <w:rFonts w:ascii="仿宋_GB2312" w:hAnsi="仿宋_GB2312" w:cs="仿宋_GB2312" w:eastAsia="仿宋_GB2312"/>
                <w:sz w:val="24"/>
                <w:color w:val="0000FF"/>
              </w:rPr>
              <w:t>本项目竣工验收合格通过之日起</w:t>
            </w:r>
            <w:r>
              <w:rPr>
                <w:rFonts w:ascii="仿宋_GB2312" w:hAnsi="仿宋_GB2312" w:cs="仿宋_GB2312" w:eastAsia="仿宋_GB2312"/>
                <w:sz w:val="24"/>
                <w:color w:val="0000FF"/>
              </w:rPr>
              <w:t>2年。</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w:t>
            </w:r>
            <w:r>
              <w:rPr>
                <w:rFonts w:ascii="仿宋_GB2312" w:hAnsi="仿宋_GB2312" w:cs="仿宋_GB2312" w:eastAsia="仿宋_GB2312"/>
                <w:sz w:val="24"/>
                <w:color w:val="0000FF"/>
              </w:rPr>
              <w:t>）保修要求：属于保修范围和内容的项目，成交供应商应在接到维修通知后，</w:t>
            </w:r>
            <w:r>
              <w:rPr>
                <w:rFonts w:ascii="仿宋_GB2312" w:hAnsi="仿宋_GB2312" w:cs="仿宋_GB2312" w:eastAsia="仿宋_GB2312"/>
                <w:sz w:val="24"/>
                <w:color w:val="0000FF"/>
              </w:rPr>
              <w:t>1天内派人维修。</w:t>
            </w:r>
            <w:r>
              <w:rPr>
                <w:rFonts w:ascii="仿宋_GB2312" w:hAnsi="仿宋_GB2312" w:cs="仿宋_GB2312" w:eastAsia="仿宋_GB2312"/>
                <w:sz w:val="24"/>
                <w:color w:val="0000FF"/>
              </w:rPr>
              <w:t>发生紧急抢修事故（如上水管跑水、爆裂，供电设施漏、断电等），成交供应商应在接到事故通知后</w:t>
            </w:r>
            <w:r>
              <w:rPr>
                <w:rFonts w:ascii="仿宋_GB2312" w:hAnsi="仿宋_GB2312" w:cs="仿宋_GB2312" w:eastAsia="仿宋_GB2312"/>
                <w:sz w:val="24"/>
                <w:color w:val="0000FF"/>
              </w:rPr>
              <w:t>2小时内到达事故现场并于</w:t>
            </w:r>
            <w:r>
              <w:rPr>
                <w:rFonts w:ascii="仿宋_GB2312" w:hAnsi="仿宋_GB2312" w:cs="仿宋_GB2312" w:eastAsia="仿宋_GB2312"/>
                <w:sz w:val="24"/>
                <w:color w:val="0000FF"/>
              </w:rPr>
              <w:t>4</w:t>
            </w:r>
            <w:r>
              <w:rPr>
                <w:rFonts w:ascii="仿宋_GB2312" w:hAnsi="仿宋_GB2312" w:cs="仿宋_GB2312" w:eastAsia="仿宋_GB2312"/>
                <w:sz w:val="24"/>
                <w:color w:val="0000FF"/>
              </w:rPr>
              <w:t>小时内完成应急维修。</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质量标准执行国家、陕西省、西安市现行工程质量验收标准，施工结束后提供具有CMA/CNAS资格的第三方检测机构空气质量检测报告。</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供应商应按照磋商文件中规定的时间及地点前往项目地点踏勘，以充分了解工地位置、情况、道路、储存空间、装卸限制及任何其他足以影响响应报价的情况，供应商因忽视或误解工地情况而导致的其提出的任何索赔或工期延长申请将不被批准。凡因供应商对竞争性磋商文件阅读疏忽或误解，或因对施工现场、施工环境、市场行情等了解不清而造成的后果和风险，由供应商自行负责。在施工期间，供应商自行协调施工现场周边社会关系，不得以协调不力而影响工程进度，所发生的一切费用应在报价时加以考虑。 2.磋商报价时各供应商应根据文件说明、做法、施工组织设计、施工验收规范、现场条件、工程特点等内容编制磋商报价。 3.所有材料必须使用合格产品，竞争性磋商文件如对材料的材质、品牌等有明确要求的，不得变更相关要求，使用前应当由采购人认质确认后方可投入使用。工程施工完毕后需对施工场地进行保洁，保洁标准达到采购人要求。 4.本项目工程量清单是按照本工程施工图纸，依据《陕西省建设工程费用规则》、2025版《陕西省建设工程工程量清单计价标准》、2025版《陕西省房屋建筑与装饰工程工程量计算标准》、2025版《陕西省通用安装工程工程量计算标准》、2025版《陕西省市政工程工程量计算标准》、2025版《陕西省园林绿化工程工程量计算标准》等现行陕西省工程建设标准的规定项目编码、项目名称、计量单位和工程量计算规则进行编制的，请各供应商根据提供的施工图纸认真核对，并确认无误;供应商中标后，若出现磋商文件中工程量清单描述与图纸不符等问题时，此部分工程量清单项的综合单价不予调整。</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1.响应保证金须从供应商户名支付，如从个人户名或非供应商户名支付， 将被拒绝，视为自动放弃投标权利（该个人是供应商的情形除外）；响应保证金缴纳时间：开标时间之前；以保函形式交纳响应保证金的，供应商应在投标截止时间前将保函上传至政府采购电子化交易平台，同时将保函扫描成清晰的PDF文件，发送至邮箱2973608682@qq.com（邮件命名：项目名称+项目编号）；供应商应在响应文件中附保函复印件。保函必须由具有开具投标保函资格的单位开具；若供应商违约，开具保函单位承担连带责任； 2.响应保证金的提交金额、时间不满足磋商文件要求的，投标无效； 3.本项目成交供应商须在领取中标（成交）通知书同一时间向采购代理机构提供响应文件（应与政府采购电子化交易平台上传的响应文件完全一致）正本1份、副本1份。 4.结算时，依据采购人审定的工程量，按实际发生量据实结算，工程价款结算时依据最终价款和一次报价的下浮比例执行。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供应商为向采购人提供工程及相应服务的法人或其他组织；</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自2025年5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供应商提供自2025年5月至今已缴纳的至少一个月纳税证明或完税证明，依法免税的单位应提供相关证明材料；</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供应商提供2024或2025年度经审计的完整财务审计报告或在开标日期前六个月内其基本开户银行出具的资信证明；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合法有效的建筑工程施工总承包三级(含)以上或建筑装修装饰工程专业承包二级(含)以上资质，并具备有效的安全生产许可证，且在人员、设备、资金等方面具备相应施工能力；</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供应商拟派项目经理资质和专业要求</w:t>
            </w:r>
          </w:p>
        </w:tc>
        <w:tc>
          <w:tcPr>
            <w:tcW w:type="dxa" w:w="3322"/>
          </w:tcPr>
          <w:p>
            <w:pPr>
              <w:pStyle w:val="null3"/>
            </w:pPr>
            <w:r>
              <w:rPr>
                <w:rFonts w:ascii="仿宋_GB2312" w:hAnsi="仿宋_GB2312" w:cs="仿宋_GB2312" w:eastAsia="仿宋_GB2312"/>
              </w:rPr>
              <w:t>供应商拟派项目经理具备合法有效的建筑工程专业注册建造师二级（含）以上执业资格及安全生产考核合格证书（安全B证），在本单位注册且无在建工程；</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供应商及其拟派项目经理须在“陕西省住房和城乡建设厅”官方网站可查询；如供应商为外省进陕企业，还须同时提供“陕西省住房和城乡建设厅”官网企业库外省进陕施工企业信息首页截图；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资格审查资料..docx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 具体内容及要求以“第六章 磋商办法 6.4.2评分标准”为准。</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供应商名称是否与营业执照、资质证书、安全生产许可证一致</w:t>
            </w:r>
          </w:p>
        </w:tc>
        <w:tc>
          <w:tcPr>
            <w:tcW w:type="dxa" w:w="3322"/>
          </w:tcPr>
          <w:p>
            <w:pPr>
              <w:pStyle w:val="null3"/>
            </w:pPr>
            <w:r>
              <w:rPr>
                <w:rFonts w:ascii="仿宋_GB2312" w:hAnsi="仿宋_GB2312" w:cs="仿宋_GB2312" w:eastAsia="仿宋_GB2312"/>
              </w:rPr>
              <w:t>供应商名称应与营业执照、资质证书、安全生产许可证一致；</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响应函是否按磋商文件要求签署、盖章的</w:t>
            </w:r>
          </w:p>
        </w:tc>
        <w:tc>
          <w:tcPr>
            <w:tcW w:type="dxa" w:w="3322"/>
          </w:tcPr>
          <w:p>
            <w:pPr>
              <w:pStyle w:val="null3"/>
            </w:pPr>
            <w:r>
              <w:rPr>
                <w:rFonts w:ascii="仿宋_GB2312" w:hAnsi="仿宋_GB2312" w:cs="仿宋_GB2312" w:eastAsia="仿宋_GB2312"/>
              </w:rPr>
              <w:t>响应函应需在项目电子化交易系统中按要求填写《响应函》、《报价函》完成承诺并进行电子 签章；</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响应文件报价是否唯一</w:t>
            </w:r>
          </w:p>
        </w:tc>
        <w:tc>
          <w:tcPr>
            <w:tcW w:type="dxa" w:w="3322"/>
          </w:tcPr>
          <w:p>
            <w:pPr>
              <w:pStyle w:val="null3"/>
            </w:pPr>
            <w:r>
              <w:rPr>
                <w:rFonts w:ascii="仿宋_GB2312" w:hAnsi="仿宋_GB2312" w:cs="仿宋_GB2312" w:eastAsia="仿宋_GB2312"/>
              </w:rPr>
              <w:t>每次报价只能有一个有效报价，且未超出采购预算及采购最高限价；</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工期、质量要求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标的清单 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响应文件是否存在无效磋商的情形及未实质性响应磋商文件的情况</w:t>
            </w:r>
          </w:p>
        </w:tc>
        <w:tc>
          <w:tcPr>
            <w:tcW w:type="dxa" w:w="3322"/>
          </w:tcPr>
          <w:p>
            <w:pPr>
              <w:pStyle w:val="null3"/>
            </w:pPr>
            <w:r>
              <w:rPr>
                <w:rFonts w:ascii="仿宋_GB2312" w:hAnsi="仿宋_GB2312" w:cs="仿宋_GB2312" w:eastAsia="仿宋_GB2312"/>
              </w:rPr>
              <w:t>响应文件未存在法律法规或磋商文件明确规定的其他被视为“无效磋商”的情形及未实质性响应磋商文件的情况。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拟派项目经理及项目组人员承诺函.docx 业绩.docx 已标价工程量清单.docx 质量管理体系与保证措施.docx 确保安全生产、文明施工的技术组织措施及环境保护措施.docx 中小企业声明函 已标价工程量清单（系统自动生成，无需填写） 对项目整体理解及施工方案.docx 服务承诺.docx 技术服务合同条款及其他商务要求应答表 资格审查资料..docx 主要材料品质、价格表.docx 项目经理的业绩.docx 工程进度计划与保证措施.docx 响应文件封面 节能环保、绿色建材明细表.docx 供应商应授权合法的人员参加本项目竞争性磋商活动全过程.docx 项目经理社保缴纳证明.docx 残疾人福利性单位声明函 报价函 标的清单 响应函 项目人员组成.docx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是否提供拟派项目经理及项目组成员在项目结束前不可更换的承诺函</w:t>
            </w:r>
          </w:p>
        </w:tc>
        <w:tc>
          <w:tcPr>
            <w:tcW w:type="dxa" w:w="3322"/>
          </w:tcPr>
          <w:p>
            <w:pPr>
              <w:pStyle w:val="null3"/>
            </w:pPr>
            <w:r>
              <w:rPr>
                <w:rFonts w:ascii="仿宋_GB2312" w:hAnsi="仿宋_GB2312" w:cs="仿宋_GB2312" w:eastAsia="仿宋_GB2312"/>
              </w:rPr>
              <w:t>已提供拟派项目经理及项目组成员在项目结束前不可更换的承诺函；</w:t>
            </w:r>
          </w:p>
        </w:tc>
        <w:tc>
          <w:tcPr>
            <w:tcW w:type="dxa" w:w="1661"/>
          </w:tcPr>
          <w:p>
            <w:pPr>
              <w:pStyle w:val="null3"/>
            </w:pPr>
            <w:r>
              <w:rPr>
                <w:rFonts w:ascii="仿宋_GB2312" w:hAnsi="仿宋_GB2312" w:cs="仿宋_GB2312" w:eastAsia="仿宋_GB2312"/>
              </w:rPr>
              <w:t>拟派项目经理及项目组人员承诺函.docx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是否提供拟派项目经理在供应商本单位近6个月内社保缴纳证明</w:t>
            </w:r>
          </w:p>
        </w:tc>
        <w:tc>
          <w:tcPr>
            <w:tcW w:type="dxa" w:w="3322"/>
          </w:tcPr>
          <w:p>
            <w:pPr>
              <w:pStyle w:val="null3"/>
            </w:pPr>
            <w:r>
              <w:rPr>
                <w:rFonts w:ascii="仿宋_GB2312" w:hAnsi="仿宋_GB2312" w:cs="仿宋_GB2312" w:eastAsia="仿宋_GB2312"/>
              </w:rPr>
              <w:t>已提供拟派项目经理在供应商本单位近6个月内社保缴纳证明；</w:t>
            </w:r>
          </w:p>
        </w:tc>
        <w:tc>
          <w:tcPr>
            <w:tcW w:type="dxa" w:w="1661"/>
          </w:tcPr>
          <w:p>
            <w:pPr>
              <w:pStyle w:val="null3"/>
            </w:pPr>
            <w:r>
              <w:rPr>
                <w:rFonts w:ascii="仿宋_GB2312" w:hAnsi="仿宋_GB2312" w:cs="仿宋_GB2312" w:eastAsia="仿宋_GB2312"/>
              </w:rPr>
              <w:t>项目经理社保缴纳证明.docx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供应商应授权合法的人员参加本项目竞争性磋商活动全过程</w:t>
            </w:r>
          </w:p>
        </w:tc>
        <w:tc>
          <w:tcPr>
            <w:tcW w:type="dxa" w:w="3322"/>
          </w:tcPr>
          <w:p>
            <w:pPr>
              <w:pStyle w:val="null3"/>
            </w:pPr>
            <w:r>
              <w:rPr>
                <w:rFonts w:ascii="仿宋_GB2312" w:hAnsi="仿宋_GB2312" w:cs="仿宋_GB2312" w:eastAsia="仿宋_GB2312"/>
              </w:rPr>
              <w:t>供应商应授权合法的人员参加本项目竞争性磋商会议全过程，法定代表人参加竞争性磋商会议的，应出具法定代表人证明书以及法定代表人合法有效的身份证，且应与营业执照上信息一致。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w:t>
            </w:r>
          </w:p>
        </w:tc>
        <w:tc>
          <w:tcPr>
            <w:tcW w:type="dxa" w:w="1661"/>
          </w:tcPr>
          <w:p>
            <w:pPr>
              <w:pStyle w:val="null3"/>
            </w:pPr>
            <w:r>
              <w:rPr>
                <w:rFonts w:ascii="仿宋_GB2312" w:hAnsi="仿宋_GB2312" w:cs="仿宋_GB2312" w:eastAsia="仿宋_GB2312"/>
              </w:rPr>
              <w:t>供应商应授权合法的人员参加本项目竞争性磋商活动全过程.docx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详细评审45.00分</w:t>
            </w:r>
          </w:p>
          <w:p>
            <w:pPr>
              <w:pStyle w:val="null3"/>
            </w:pPr>
            <w:r>
              <w:rPr>
                <w:rFonts w:ascii="仿宋_GB2312" w:hAnsi="仿宋_GB2312" w:cs="仿宋_GB2312" w:eastAsia="仿宋_GB2312"/>
              </w:rPr>
              <w:t>报价得分55.00分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对项目整体理解及施工方案1</w:t>
            </w:r>
          </w:p>
        </w:tc>
        <w:tc>
          <w:tcPr>
            <w:tcW w:type="dxa" w:w="2492"/>
          </w:tcPr>
          <w:p>
            <w:pPr>
              <w:pStyle w:val="null3"/>
            </w:pPr>
            <w:r>
              <w:rPr>
                <w:rFonts w:ascii="仿宋_GB2312" w:hAnsi="仿宋_GB2312" w:cs="仿宋_GB2312" w:eastAsia="仿宋_GB2312"/>
              </w:rPr>
              <w:t>1.根据供应商针对本项目实施的现场情况、难易程度、历史资料匹配、成品保护等重点、难点进行分析进行评审： 内容完备、科学、合理、针对性强得1.5分； 内容较为完备，针对性较强的得1分； 内容较为简略、基本可行的得0.5分； 内容缺失严重、不合理和未提供的均不计分。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对项目整体理解及施工方案.docx</w:t>
            </w:r>
          </w:p>
        </w:tc>
      </w:tr>
      <w:tr>
        <w:tc>
          <w:tcPr>
            <w:tcW w:type="dxa" w:w="831"/>
            <w:vMerge/>
          </w:tcPr>
          <w:p/>
        </w:tc>
        <w:tc>
          <w:tcPr>
            <w:tcW w:type="dxa" w:w="1661"/>
          </w:tcPr>
          <w:p>
            <w:pPr>
              <w:pStyle w:val="null3"/>
            </w:pPr>
            <w:r>
              <w:rPr>
                <w:rFonts w:ascii="仿宋_GB2312" w:hAnsi="仿宋_GB2312" w:cs="仿宋_GB2312" w:eastAsia="仿宋_GB2312"/>
              </w:rPr>
              <w:t>对项目整体理解及施工方案2</w:t>
            </w:r>
          </w:p>
        </w:tc>
        <w:tc>
          <w:tcPr>
            <w:tcW w:type="dxa" w:w="2492"/>
          </w:tcPr>
          <w:p>
            <w:pPr>
              <w:pStyle w:val="null3"/>
            </w:pPr>
            <w:r>
              <w:rPr>
                <w:rFonts w:ascii="仿宋_GB2312" w:hAnsi="仿宋_GB2312" w:cs="仿宋_GB2312" w:eastAsia="仿宋_GB2312"/>
              </w:rPr>
              <w:t>2.根据供应商针对本项目对易发生质量通病、易出现安全问题、施工难度大、技术含量高的分项工程等进行说明并给出施工保障措施和专项技术方案（含主要施工工法、组织措施、检验手段等）进行评审： 内容完备、科学、合理、针对性强得2分； 内容较为完备，针对性较强的得1.4分； 内容较为简略、基本可行的得0.7分；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对项目整体理解及施工方案.docx</w:t>
            </w:r>
          </w:p>
        </w:tc>
      </w:tr>
      <w:tr>
        <w:tc>
          <w:tcPr>
            <w:tcW w:type="dxa" w:w="831"/>
            <w:vMerge/>
          </w:tcPr>
          <w:p/>
        </w:tc>
        <w:tc>
          <w:tcPr>
            <w:tcW w:type="dxa" w:w="1661"/>
          </w:tcPr>
          <w:p>
            <w:pPr>
              <w:pStyle w:val="null3"/>
            </w:pPr>
            <w:r>
              <w:rPr>
                <w:rFonts w:ascii="仿宋_GB2312" w:hAnsi="仿宋_GB2312" w:cs="仿宋_GB2312" w:eastAsia="仿宋_GB2312"/>
              </w:rPr>
              <w:t>对项目整体理解及施工方案3</w:t>
            </w:r>
          </w:p>
        </w:tc>
        <w:tc>
          <w:tcPr>
            <w:tcW w:type="dxa" w:w="2492"/>
          </w:tcPr>
          <w:p>
            <w:pPr>
              <w:pStyle w:val="null3"/>
            </w:pPr>
            <w:r>
              <w:rPr>
                <w:rFonts w:ascii="仿宋_GB2312" w:hAnsi="仿宋_GB2312" w:cs="仿宋_GB2312" w:eastAsia="仿宋_GB2312"/>
              </w:rPr>
              <w:t>3.根据供应商针对影响本项目的外在因素和可能出现的问题进行分析，并制定相关应急预案或保证措施进行评审： 内容完备、科学、合理、针对性强得1.5分； 内容较为完备，针对性较强的得1分； 内容较为简略、基本可行的得0.5分； 内容缺失严重、不合理和未提供的均不计分。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对项目整体理解及施工方案.docx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工程进度计划与保证措施1</w:t>
            </w:r>
          </w:p>
        </w:tc>
        <w:tc>
          <w:tcPr>
            <w:tcW w:type="dxa" w:w="2492"/>
          </w:tcPr>
          <w:p>
            <w:pPr>
              <w:pStyle w:val="null3"/>
            </w:pPr>
            <w:r>
              <w:rPr>
                <w:rFonts w:ascii="仿宋_GB2312" w:hAnsi="仿宋_GB2312" w:cs="仿宋_GB2312" w:eastAsia="仿宋_GB2312"/>
              </w:rPr>
              <w:t>1.根据供应商针对本项目工期紧、质量高的特点，制定切实可行的施工进度计划（网络图/横道图）和工期保证措施，施工顺序具体说明及施工流水段划分；工期控制要点及分级控制措施；进度监管手段、人材机组织保证进行评审： 内容完备、科学、合理、针对性强得3分； 内容较为完备，针对性较强的得2分；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工程进度计划与保证措施.docx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工程进度计划与保证措施2</w:t>
            </w:r>
          </w:p>
        </w:tc>
        <w:tc>
          <w:tcPr>
            <w:tcW w:type="dxa" w:w="2492"/>
          </w:tcPr>
          <w:p>
            <w:pPr>
              <w:pStyle w:val="null3"/>
            </w:pPr>
            <w:r>
              <w:rPr>
                <w:rFonts w:ascii="仿宋_GB2312" w:hAnsi="仿宋_GB2312" w:cs="仿宋_GB2312" w:eastAsia="仿宋_GB2312"/>
              </w:rPr>
              <w:t>2.针对本项目工期紧、质量高的特点，制定切实可行的现场调度及总包分包协调方案；赶工方案及奖惩措施；劳动力配置计划和生产效率及生活保障措施；检测及机具设备计划、材料准备计划及相关保证措施进行评审： 内容完备、科学、合理、针对性强得3分； 内容较为完备，针对性较强的得2分；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工程进度计划与保证措施.docx</w:t>
            </w:r>
          </w:p>
        </w:tc>
      </w:tr>
      <w:tr>
        <w:tc>
          <w:tcPr>
            <w:tcW w:type="dxa" w:w="831"/>
            <w:vMerge/>
          </w:tcPr>
          <w:p/>
        </w:tc>
        <w:tc>
          <w:tcPr>
            <w:tcW w:type="dxa" w:w="1661"/>
          </w:tcPr>
          <w:p>
            <w:pPr>
              <w:pStyle w:val="null3"/>
            </w:pPr>
            <w:r>
              <w:rPr>
                <w:rFonts w:ascii="仿宋_GB2312" w:hAnsi="仿宋_GB2312" w:cs="仿宋_GB2312" w:eastAsia="仿宋_GB2312"/>
              </w:rPr>
              <w:t>质量管理体系与保证措施1</w:t>
            </w:r>
          </w:p>
        </w:tc>
        <w:tc>
          <w:tcPr>
            <w:tcW w:type="dxa" w:w="2492"/>
          </w:tcPr>
          <w:p>
            <w:pPr>
              <w:pStyle w:val="null3"/>
            </w:pPr>
            <w:r>
              <w:rPr>
                <w:rFonts w:ascii="仿宋_GB2312" w:hAnsi="仿宋_GB2312" w:cs="仿宋_GB2312" w:eastAsia="仿宋_GB2312"/>
              </w:rPr>
              <w:t>1.根据供应商针对本项目特点制定切实可行质量管理预控措施（各项质量目标及控制措施、质量检验和实验计划、事前控制、材料质量控制、施工机具控制等）进行评审： 内容完备、科学、合理、针对性强得2分； 内容较为完备，针对性较强的得1.4分； 内容较为简略、基本可行的得0.7分；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质量管理体系与保证措施.docx</w:t>
            </w:r>
          </w:p>
        </w:tc>
      </w:tr>
      <w:tr>
        <w:tc>
          <w:tcPr>
            <w:tcW w:type="dxa" w:w="831"/>
            <w:vMerge/>
          </w:tcPr>
          <w:p/>
        </w:tc>
        <w:tc>
          <w:tcPr>
            <w:tcW w:type="dxa" w:w="1661"/>
          </w:tcPr>
          <w:p>
            <w:pPr>
              <w:pStyle w:val="null3"/>
            </w:pPr>
            <w:r>
              <w:rPr>
                <w:rFonts w:ascii="仿宋_GB2312" w:hAnsi="仿宋_GB2312" w:cs="仿宋_GB2312" w:eastAsia="仿宋_GB2312"/>
              </w:rPr>
              <w:t>质量管理体系与保证措施2</w:t>
            </w:r>
          </w:p>
        </w:tc>
        <w:tc>
          <w:tcPr>
            <w:tcW w:type="dxa" w:w="2492"/>
          </w:tcPr>
          <w:p>
            <w:pPr>
              <w:pStyle w:val="null3"/>
            </w:pPr>
            <w:r>
              <w:rPr>
                <w:rFonts w:ascii="仿宋_GB2312" w:hAnsi="仿宋_GB2312" w:cs="仿宋_GB2312" w:eastAsia="仿宋_GB2312"/>
              </w:rPr>
              <w:t>2.根据供应商针对本项目分部分项工程质量保证措施、成品保护和工程保修管理措施进行评审： 内容完备、科学、合理、针对性强得2分； 内容较为完备，针对性较强的得1.4分； 内容较为简略、基本可行的得0.7分；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质量管理体系与保证措施.docx</w:t>
            </w:r>
          </w:p>
        </w:tc>
      </w:tr>
      <w:tr>
        <w:tc>
          <w:tcPr>
            <w:tcW w:type="dxa" w:w="831"/>
            <w:vMerge/>
          </w:tcPr>
          <w:p/>
        </w:tc>
        <w:tc>
          <w:tcPr>
            <w:tcW w:type="dxa" w:w="1661"/>
          </w:tcPr>
          <w:p>
            <w:pPr>
              <w:pStyle w:val="null3"/>
            </w:pPr>
            <w:r>
              <w:rPr>
                <w:rFonts w:ascii="仿宋_GB2312" w:hAnsi="仿宋_GB2312" w:cs="仿宋_GB2312" w:eastAsia="仿宋_GB2312"/>
              </w:rPr>
              <w:t>确保安全生产、文明施工的技术组织措施及环境保护措施1</w:t>
            </w:r>
          </w:p>
        </w:tc>
        <w:tc>
          <w:tcPr>
            <w:tcW w:type="dxa" w:w="2492"/>
          </w:tcPr>
          <w:p>
            <w:pPr>
              <w:pStyle w:val="null3"/>
            </w:pPr>
            <w:r>
              <w:rPr>
                <w:rFonts w:ascii="仿宋_GB2312" w:hAnsi="仿宋_GB2312" w:cs="仿宋_GB2312" w:eastAsia="仿宋_GB2312"/>
              </w:rPr>
              <w:t>1.根据供应商针对本项目特点结合工程环境、特点分析安全隐患，给出有针对性的安全生产、文明施工、环保施工、防尘降噪等保证措施进行评审： 内容完备、科学、合理、针对性强得2分； 内容较为完备，针对性较强的得1.5分；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确保安全生产、文明施工的技术组织措施及环境保护措施.docx</w:t>
            </w:r>
          </w:p>
        </w:tc>
      </w:tr>
      <w:tr>
        <w:tc>
          <w:tcPr>
            <w:tcW w:type="dxa" w:w="831"/>
            <w:vMerge/>
          </w:tcPr>
          <w:p/>
        </w:tc>
        <w:tc>
          <w:tcPr>
            <w:tcW w:type="dxa" w:w="1661"/>
          </w:tcPr>
          <w:p>
            <w:pPr>
              <w:pStyle w:val="null3"/>
            </w:pPr>
            <w:r>
              <w:rPr>
                <w:rFonts w:ascii="仿宋_GB2312" w:hAnsi="仿宋_GB2312" w:cs="仿宋_GB2312" w:eastAsia="仿宋_GB2312"/>
              </w:rPr>
              <w:t>确保安全生产、文明施工的技术组织措施及环境保护措施2</w:t>
            </w:r>
          </w:p>
        </w:tc>
        <w:tc>
          <w:tcPr>
            <w:tcW w:type="dxa" w:w="2492"/>
          </w:tcPr>
          <w:p>
            <w:pPr>
              <w:pStyle w:val="null3"/>
            </w:pPr>
            <w:r>
              <w:rPr>
                <w:rFonts w:ascii="仿宋_GB2312" w:hAnsi="仿宋_GB2312" w:cs="仿宋_GB2312" w:eastAsia="仿宋_GB2312"/>
              </w:rPr>
              <w:t>2.根据供应商针对本项目提供安全文明、环保施工保证体系和控制点设置合理，满足国家、省市相关法规规定及采购文件要求进行评审： 内容完备、科学、合理、针对性强得2分； 内容较为完备，针对性较强的得1.5分；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确保安全生产、文明施工的技术组织措施及环境保护措施.docx</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供应商提供拟派项目经理自2023年5月1日至今已完成的类似业绩证明材料，每提供1项得1分，最多得3分。 备注：业绩时间以合同签订时间所体现的时间为准，合同中需要体现项目经理姓名，拟派项目经理业绩与企业业绩不可重合得分。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项目经理的业绩.docx</w:t>
            </w:r>
          </w:p>
        </w:tc>
      </w:tr>
      <w:tr>
        <w:tc>
          <w:tcPr>
            <w:tcW w:type="dxa" w:w="831"/>
            <w:vMerge/>
          </w:tcPr>
          <w:p/>
        </w:tc>
        <w:tc>
          <w:tcPr>
            <w:tcW w:type="dxa" w:w="1661"/>
          </w:tcPr>
          <w:p>
            <w:pPr>
              <w:pStyle w:val="null3"/>
            </w:pPr>
            <w:r>
              <w:rPr>
                <w:rFonts w:ascii="仿宋_GB2312" w:hAnsi="仿宋_GB2312" w:cs="仿宋_GB2312" w:eastAsia="仿宋_GB2312"/>
              </w:rPr>
              <w:t>项目人员组成</w:t>
            </w:r>
          </w:p>
        </w:tc>
        <w:tc>
          <w:tcPr>
            <w:tcW w:type="dxa" w:w="2492"/>
          </w:tcPr>
          <w:p>
            <w:pPr>
              <w:pStyle w:val="null3"/>
            </w:pPr>
            <w:r>
              <w:rPr>
                <w:rFonts w:ascii="仿宋_GB2312" w:hAnsi="仿宋_GB2312" w:cs="仿宋_GB2312" w:eastAsia="仿宋_GB2312"/>
              </w:rPr>
              <w:t>供应商针对本项目提供的项目人员组成，技术负责人（职称、学历、工作年限），其他项目人员构成情况（岗位设置、专业种类及能力、有技术职称的人员比例）等进行评审： 内容完备、科学、合理、针对性强得3分； 内容较为完备，针对性较强的得2分； 内容较为简略、基本可行的得0.8分；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项目人员组成.docx</w:t>
            </w:r>
          </w:p>
        </w:tc>
      </w:tr>
      <w:tr>
        <w:tc>
          <w:tcPr>
            <w:tcW w:type="dxa" w:w="831"/>
            <w:vMerge/>
          </w:tcPr>
          <w:p/>
        </w:tc>
        <w:tc>
          <w:tcPr>
            <w:tcW w:type="dxa" w:w="1661"/>
          </w:tcPr>
          <w:p>
            <w:pPr>
              <w:pStyle w:val="null3"/>
            </w:pPr>
            <w:r>
              <w:rPr>
                <w:rFonts w:ascii="仿宋_GB2312" w:hAnsi="仿宋_GB2312" w:cs="仿宋_GB2312" w:eastAsia="仿宋_GB2312"/>
              </w:rPr>
              <w:t>主要材料品质、价格表1</w:t>
            </w:r>
          </w:p>
        </w:tc>
        <w:tc>
          <w:tcPr>
            <w:tcW w:type="dxa" w:w="2492"/>
          </w:tcPr>
          <w:p>
            <w:pPr>
              <w:pStyle w:val="null3"/>
            </w:pPr>
            <w:r>
              <w:rPr>
                <w:rFonts w:ascii="仿宋_GB2312" w:hAnsi="仿宋_GB2312" w:cs="仿宋_GB2312" w:eastAsia="仿宋_GB2312"/>
              </w:rPr>
              <w:t>1.供应商针对本项目提供的主要材料品质、价格表填写完整，无缺漏项的得4分。未提供或提供不全或拟投主要材料品质不明确的本项不得分。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主要材料品质、价格表.docx</w:t>
            </w:r>
          </w:p>
        </w:tc>
      </w:tr>
      <w:tr>
        <w:tc>
          <w:tcPr>
            <w:tcW w:type="dxa" w:w="831"/>
            <w:vMerge/>
          </w:tcPr>
          <w:p/>
        </w:tc>
        <w:tc>
          <w:tcPr>
            <w:tcW w:type="dxa" w:w="1661"/>
          </w:tcPr>
          <w:p>
            <w:pPr>
              <w:pStyle w:val="null3"/>
            </w:pPr>
            <w:r>
              <w:rPr>
                <w:rFonts w:ascii="仿宋_GB2312" w:hAnsi="仿宋_GB2312" w:cs="仿宋_GB2312" w:eastAsia="仿宋_GB2312"/>
              </w:rPr>
              <w:t>主要材料品质、价格表2</w:t>
            </w:r>
          </w:p>
        </w:tc>
        <w:tc>
          <w:tcPr>
            <w:tcW w:type="dxa" w:w="2492"/>
          </w:tcPr>
          <w:p>
            <w:pPr>
              <w:pStyle w:val="null3"/>
            </w:pPr>
            <w:r>
              <w:rPr>
                <w:rFonts w:ascii="仿宋_GB2312" w:hAnsi="仿宋_GB2312" w:cs="仿宋_GB2312" w:eastAsia="仿宋_GB2312"/>
              </w:rPr>
              <w:t>2.根据供应商针对本项目拟投入主要材料品质的产品选型情况及证明材料进行评审： 主要材料品质完全符合项目要求，与本次项目契合度高，相关证明材料完整、清晰的得5分； 主要材料品质符合项目要求，材料品质与本次项目契合度较高，相关证明材料较完整、清晰的得4分； 主要材料品质基本符合项目要求，材料品质与本次项目契合度较低，相关证明材料部分缺失或不够清晰的得3分； 主要材料品质基本符合项目要求，材料品质与本次项目契合度低，相关证明材料严重缺失的得2分； 主要材料品质与本项目契合度低，相关证明材料简单、粗略，缺漏严重的得1分； 未提供的不计分。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主要材料品质、价格表.docx</w:t>
            </w:r>
          </w:p>
        </w:tc>
      </w:tr>
      <w:tr>
        <w:tc>
          <w:tcPr>
            <w:tcW w:type="dxa" w:w="831"/>
            <w:vMerge/>
          </w:tcPr>
          <w:p/>
        </w:tc>
        <w:tc>
          <w:tcPr>
            <w:tcW w:type="dxa" w:w="1661"/>
          </w:tcPr>
          <w:p>
            <w:pPr>
              <w:pStyle w:val="null3"/>
            </w:pPr>
            <w:r>
              <w:rPr>
                <w:rFonts w:ascii="仿宋_GB2312" w:hAnsi="仿宋_GB2312" w:cs="仿宋_GB2312" w:eastAsia="仿宋_GB2312"/>
              </w:rPr>
              <w:t>节能环保、绿色建材</w:t>
            </w:r>
          </w:p>
        </w:tc>
        <w:tc>
          <w:tcPr>
            <w:tcW w:type="dxa" w:w="2492"/>
          </w:tcPr>
          <w:p>
            <w:pPr>
              <w:pStyle w:val="null3"/>
            </w:pPr>
            <w:r>
              <w:rPr>
                <w:rFonts w:ascii="仿宋_GB2312" w:hAnsi="仿宋_GB2312" w:cs="仿宋_GB2312" w:eastAsia="仿宋_GB2312"/>
              </w:rPr>
              <w:t>供应商针对本项目所选用的材料采用绿色环保、节能材料的；以上内容每提供一项得0.5分，最高得4分，不提供不计分。 （以上内容需提供检测报告及相关证明材料等并加盖公章）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节能环保、绿色建材明细表.docx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提供供应商2023年5月1日至今(以合同签订日期为准)类似业绩证明材料，每份业绩计1分，满分4分。 备注：业绩时间以合同签订时间所体现的时间为准。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根据供应商提供的质保服务方案及承诺、与学校相关部门的配合协调承诺、人员安全保障承诺及优化建议等进行评审： 内容完备、科学、合理、针对性强得3分； 内容较为完备，针对性较强的得2分； 内容较为简略、基本可行的得0.8分；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55计算分数时四舍五入取小数点后两位。</w:t>
            </w:r>
          </w:p>
        </w:tc>
        <w:tc>
          <w:tcPr>
            <w:tcW w:type="dxa" w:w="831"/>
          </w:tcPr>
          <w:p>
            <w:pPr>
              <w:pStyle w:val="null3"/>
              <w:jc w:val="right"/>
            </w:pPr>
            <w:r>
              <w:rPr>
                <w:rFonts w:ascii="仿宋_GB2312" w:hAnsi="仿宋_GB2312" w:cs="仿宋_GB2312" w:eastAsia="仿宋_GB2312"/>
              </w:rPr>
              <w:t>55.0000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详见附件：已标价工程量清单（系统自动生成，无需填写）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详见附件：对项目整体理解及施工方案.docx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详见附件：工程进度计划与保证措施.docx</w:t>
      </w:r>
    </w:p>
    <w:p>
      <w:pPr>
        <w:pStyle w:val="null3"/>
        <w:ind w:firstLine="960"/>
      </w:pPr>
      <w:r>
        <w:rPr>
          <w:rFonts w:ascii="仿宋_GB2312" w:hAnsi="仿宋_GB2312" w:cs="仿宋_GB2312" w:eastAsia="仿宋_GB2312"/>
        </w:rPr>
        <w:t>详见附件：供应商应授权合法的人员参加本项目竞争性磋商活动全过程.docx</w:t>
      </w:r>
    </w:p>
    <w:p>
      <w:pPr>
        <w:pStyle w:val="null3"/>
        <w:ind w:firstLine="960"/>
      </w:pPr>
      <w:r>
        <w:rPr>
          <w:rFonts w:ascii="仿宋_GB2312" w:hAnsi="仿宋_GB2312" w:cs="仿宋_GB2312" w:eastAsia="仿宋_GB2312"/>
        </w:rPr>
        <w:t>详见附件：节能环保、绿色建材明细表.docx</w:t>
      </w:r>
    </w:p>
    <w:p>
      <w:pPr>
        <w:pStyle w:val="null3"/>
        <w:ind w:firstLine="960"/>
      </w:pPr>
      <w:r>
        <w:rPr>
          <w:rFonts w:ascii="仿宋_GB2312" w:hAnsi="仿宋_GB2312" w:cs="仿宋_GB2312" w:eastAsia="仿宋_GB2312"/>
        </w:rPr>
        <w:t>详见附件：拟派项目经理及项目组人员承诺函.docx</w:t>
      </w:r>
    </w:p>
    <w:p>
      <w:pPr>
        <w:pStyle w:val="null3"/>
        <w:ind w:firstLine="960"/>
      </w:pPr>
      <w:r>
        <w:rPr>
          <w:rFonts w:ascii="仿宋_GB2312" w:hAnsi="仿宋_GB2312" w:cs="仿宋_GB2312" w:eastAsia="仿宋_GB2312"/>
        </w:rPr>
        <w:t>详见附件：确保安全生产、文明施工的技术组织措施及环境保护措施.docx</w:t>
      </w:r>
    </w:p>
    <w:p>
      <w:pPr>
        <w:pStyle w:val="null3"/>
        <w:ind w:firstLine="960"/>
      </w:pPr>
      <w:r>
        <w:rPr>
          <w:rFonts w:ascii="仿宋_GB2312" w:hAnsi="仿宋_GB2312" w:cs="仿宋_GB2312" w:eastAsia="仿宋_GB2312"/>
        </w:rPr>
        <w:t>详见附件：项目经理的业绩.docx</w:t>
      </w:r>
    </w:p>
    <w:p>
      <w:pPr>
        <w:pStyle w:val="null3"/>
        <w:ind w:firstLine="960"/>
      </w:pPr>
      <w:r>
        <w:rPr>
          <w:rFonts w:ascii="仿宋_GB2312" w:hAnsi="仿宋_GB2312" w:cs="仿宋_GB2312" w:eastAsia="仿宋_GB2312"/>
        </w:rPr>
        <w:t>详见附件：项目经理社保缴纳证明.docx</w:t>
      </w:r>
    </w:p>
    <w:p>
      <w:pPr>
        <w:pStyle w:val="null3"/>
        <w:ind w:firstLine="960"/>
      </w:pPr>
      <w:r>
        <w:rPr>
          <w:rFonts w:ascii="仿宋_GB2312" w:hAnsi="仿宋_GB2312" w:cs="仿宋_GB2312" w:eastAsia="仿宋_GB2312"/>
        </w:rPr>
        <w:t>详见附件：项目人员组成.docx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详见附件：质量管理体系与保证措施.docx</w:t>
      </w:r>
    </w:p>
    <w:p>
      <w:pPr>
        <w:pStyle w:val="null3"/>
        <w:ind w:firstLine="960"/>
      </w:pPr>
      <w:r>
        <w:rPr>
          <w:rFonts w:ascii="仿宋_GB2312" w:hAnsi="仿宋_GB2312" w:cs="仿宋_GB2312" w:eastAsia="仿宋_GB2312"/>
        </w:rPr>
        <w:t>详见附件：主要材料品质、价格表.docx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详见附件：资格审查资料..docx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